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AEBE2" w14:textId="6D5109F4" w:rsidR="00515D06" w:rsidRDefault="00515D06" w:rsidP="00515D06">
      <w:pPr>
        <w:pStyle w:val="Text"/>
        <w:spacing w:before="240" w:line="276" w:lineRule="auto"/>
        <w:ind w:firstLine="0"/>
        <w:jc w:val="center"/>
        <w:rPr>
          <w:rFonts w:ascii="Times New Roman" w:hAnsi="Times New Roman"/>
          <w:b/>
          <w:bCs/>
          <w:color w:val="0000FF"/>
          <w:sz w:val="24"/>
          <w:szCs w:val="24"/>
        </w:rPr>
      </w:pPr>
      <w:r>
        <w:rPr>
          <w:rFonts w:ascii="Times New Roman" w:hAnsi="Times New Roman"/>
          <w:b/>
          <w:bCs/>
          <w:color w:val="0000FF"/>
          <w:sz w:val="24"/>
          <w:szCs w:val="24"/>
        </w:rPr>
        <w:t>Long-Term Liabilities</w:t>
      </w:r>
      <w:bookmarkStart w:id="0" w:name="_GoBack"/>
      <w:bookmarkEnd w:id="0"/>
    </w:p>
    <w:p w14:paraId="22AAB52C" w14:textId="69E62E4B" w:rsidR="006E473A" w:rsidRDefault="006E473A" w:rsidP="00ED26C5">
      <w:pPr>
        <w:pStyle w:val="Text"/>
        <w:spacing w:before="240" w:line="276" w:lineRule="auto"/>
        <w:ind w:firstLine="0"/>
        <w:jc w:val="left"/>
        <w:rPr>
          <w:rFonts w:ascii="Times New Roman" w:hAnsi="Times New Roman"/>
          <w:b/>
          <w:bCs/>
          <w:color w:val="0000FF"/>
          <w:sz w:val="24"/>
          <w:szCs w:val="24"/>
        </w:rPr>
      </w:pPr>
      <w:r>
        <w:rPr>
          <w:rFonts w:ascii="Times New Roman" w:hAnsi="Times New Roman"/>
          <w:b/>
          <w:bCs/>
          <w:color w:val="0000FF"/>
          <w:sz w:val="24"/>
          <w:szCs w:val="24"/>
        </w:rPr>
        <w:t>I.</w:t>
      </w:r>
      <w:r>
        <w:rPr>
          <w:rFonts w:ascii="Times New Roman" w:hAnsi="Times New Roman"/>
          <w:b/>
          <w:bCs/>
          <w:color w:val="0000FF"/>
          <w:sz w:val="24"/>
          <w:szCs w:val="24"/>
        </w:rPr>
        <w:tab/>
      </w:r>
      <w:r w:rsidR="004E6033">
        <w:rPr>
          <w:rFonts w:ascii="Times New Roman" w:hAnsi="Times New Roman"/>
          <w:b/>
          <w:bCs/>
          <w:color w:val="0000FF"/>
          <w:sz w:val="24"/>
          <w:szCs w:val="24"/>
        </w:rPr>
        <w:t xml:space="preserve">The </w:t>
      </w:r>
      <w:r>
        <w:rPr>
          <w:rFonts w:ascii="Times New Roman" w:hAnsi="Times New Roman"/>
          <w:b/>
          <w:bCs/>
          <w:color w:val="0000FF"/>
          <w:sz w:val="24"/>
          <w:szCs w:val="24"/>
        </w:rPr>
        <w:t>Nature of Long-Term Debt</w:t>
      </w:r>
    </w:p>
    <w:p w14:paraId="09F52FAE" w14:textId="77777777" w:rsidR="006E473A" w:rsidRDefault="006E473A" w:rsidP="00AC4F4B">
      <w:pPr>
        <w:pStyle w:val="List"/>
        <w:ind w:left="993" w:hanging="446"/>
        <w:rPr>
          <w:rFonts w:ascii="Times New Roman" w:hAnsi="Times New Roman"/>
        </w:rPr>
      </w:pPr>
      <w:r w:rsidRPr="00AC4F4B">
        <w:rPr>
          <w:rFonts w:ascii="Times New Roman" w:hAnsi="Times New Roman"/>
        </w:rPr>
        <w:t>A.</w:t>
      </w:r>
      <w:r w:rsidRPr="00AC4F4B">
        <w:rPr>
          <w:rFonts w:ascii="Times New Roman" w:hAnsi="Times New Roman"/>
        </w:rPr>
        <w:tab/>
      </w:r>
      <w:r>
        <w:rPr>
          <w:rFonts w:ascii="Times New Roman" w:hAnsi="Times New Roman"/>
        </w:rPr>
        <w:t>Liabilities signify creditors’ interest in a company’s assets.</w:t>
      </w:r>
    </w:p>
    <w:p w14:paraId="1E32DFC2" w14:textId="77777777" w:rsidR="006E473A" w:rsidRDefault="006E473A" w:rsidP="00AC4F4B">
      <w:pPr>
        <w:pStyle w:val="List"/>
        <w:ind w:left="993" w:hanging="446"/>
        <w:rPr>
          <w:rFonts w:ascii="Times New Roman" w:hAnsi="Times New Roman"/>
        </w:rPr>
      </w:pPr>
      <w:r>
        <w:rPr>
          <w:rFonts w:ascii="Times New Roman" w:hAnsi="Times New Roman"/>
        </w:rPr>
        <w:t>B.</w:t>
      </w:r>
      <w:r>
        <w:rPr>
          <w:rFonts w:ascii="Times New Roman" w:hAnsi="Times New Roman"/>
        </w:rPr>
        <w:tab/>
        <w:t>Debt requires the future payment of cash in specified (or estimated) amounts, at specified (or projected) dates.</w:t>
      </w:r>
    </w:p>
    <w:p w14:paraId="20BEDC23" w14:textId="77777777" w:rsidR="006E473A" w:rsidRDefault="006E473A" w:rsidP="00AC4F4B">
      <w:pPr>
        <w:pStyle w:val="List"/>
        <w:ind w:left="993" w:hanging="446"/>
        <w:rPr>
          <w:rFonts w:ascii="Times New Roman" w:hAnsi="Times New Roman"/>
        </w:rPr>
      </w:pPr>
      <w:r>
        <w:rPr>
          <w:rFonts w:ascii="Times New Roman" w:hAnsi="Times New Roman"/>
        </w:rPr>
        <w:t>C.</w:t>
      </w:r>
      <w:r>
        <w:rPr>
          <w:rFonts w:ascii="Times New Roman" w:hAnsi="Times New Roman"/>
        </w:rPr>
        <w:tab/>
        <w:t xml:space="preserve">As time passes, interest accrues on debt.  </w:t>
      </w:r>
    </w:p>
    <w:p w14:paraId="550FE934" w14:textId="6D8AB814" w:rsidR="006E473A" w:rsidRDefault="006E473A" w:rsidP="00AC4F4B">
      <w:pPr>
        <w:pStyle w:val="List"/>
        <w:ind w:left="993" w:hanging="446"/>
        <w:rPr>
          <w:rFonts w:ascii="Times New Roman" w:hAnsi="Times New Roman"/>
        </w:rPr>
      </w:pPr>
      <w:r>
        <w:rPr>
          <w:rFonts w:ascii="Times New Roman" w:hAnsi="Times New Roman"/>
        </w:rPr>
        <w:t>D.</w:t>
      </w:r>
      <w:r>
        <w:rPr>
          <w:rFonts w:ascii="Times New Roman" w:hAnsi="Times New Roman"/>
        </w:rPr>
        <w:tab/>
        <w:t>Periodic interest is the effective interest rate times the amount of the debt outstanding during the interest period.</w:t>
      </w:r>
    </w:p>
    <w:p w14:paraId="5E725C76" w14:textId="77777777" w:rsidR="006E473A" w:rsidRDefault="006E473A" w:rsidP="00AC4F4B">
      <w:pPr>
        <w:pStyle w:val="List"/>
        <w:ind w:left="993" w:hanging="446"/>
        <w:rPr>
          <w:rFonts w:ascii="Times New Roman" w:hAnsi="Times New Roman"/>
        </w:rPr>
      </w:pPr>
      <w:r>
        <w:rPr>
          <w:rFonts w:ascii="Times New Roman" w:hAnsi="Times New Roman"/>
        </w:rPr>
        <w:t>E.</w:t>
      </w:r>
      <w:r>
        <w:rPr>
          <w:rFonts w:ascii="Times New Roman" w:hAnsi="Times New Roman"/>
        </w:rPr>
        <w:tab/>
        <w:t>Reported at present value of its related cash flows (principal and/or interest payments), discounted at the effective rate of interest at issuance.</w:t>
      </w:r>
    </w:p>
    <w:p w14:paraId="27D29DA9" w14:textId="7DC4BA9E" w:rsidR="00BE3F08" w:rsidRDefault="00BE3F08" w:rsidP="00ED26C5">
      <w:pPr>
        <w:pStyle w:val="Text"/>
        <w:spacing w:before="240" w:line="276" w:lineRule="auto"/>
        <w:ind w:firstLine="0"/>
        <w:jc w:val="left"/>
        <w:rPr>
          <w:rFonts w:ascii="Times New Roman" w:hAnsi="Times New Roman"/>
          <w:b/>
          <w:bCs/>
          <w:color w:val="0000FF"/>
          <w:sz w:val="28"/>
          <w:szCs w:val="28"/>
        </w:rPr>
      </w:pPr>
      <w:r w:rsidRPr="00AC4F4B">
        <w:rPr>
          <w:rFonts w:ascii="Times New Roman" w:hAnsi="Times New Roman"/>
          <w:b/>
          <w:bCs/>
          <w:color w:val="0000FF"/>
          <w:sz w:val="28"/>
          <w:szCs w:val="28"/>
        </w:rPr>
        <w:t xml:space="preserve">Part A: </w:t>
      </w:r>
      <w:r w:rsidR="006E473A" w:rsidRPr="00AC4F4B">
        <w:rPr>
          <w:rFonts w:ascii="Times New Roman" w:hAnsi="Times New Roman"/>
          <w:b/>
          <w:bCs/>
          <w:color w:val="0000FF"/>
          <w:sz w:val="28"/>
          <w:szCs w:val="28"/>
        </w:rPr>
        <w:t>Bonds</w:t>
      </w:r>
    </w:p>
    <w:p w14:paraId="6451FC46" w14:textId="7F383A34" w:rsidR="006E473A" w:rsidRPr="00AC4F4B" w:rsidRDefault="00BE3F08" w:rsidP="00ED26C5">
      <w:pPr>
        <w:pStyle w:val="Text"/>
        <w:spacing w:before="240" w:line="276" w:lineRule="auto"/>
        <w:ind w:firstLine="0"/>
        <w:jc w:val="left"/>
        <w:rPr>
          <w:rFonts w:ascii="Times New Roman" w:hAnsi="Times New Roman"/>
          <w:sz w:val="24"/>
          <w:szCs w:val="24"/>
        </w:rPr>
      </w:pPr>
      <w:r w:rsidRPr="00AC4F4B">
        <w:rPr>
          <w:rFonts w:ascii="Times New Roman" w:hAnsi="Times New Roman"/>
          <w:b/>
          <w:bCs/>
          <w:color w:val="0000FF"/>
          <w:sz w:val="24"/>
          <w:szCs w:val="24"/>
        </w:rPr>
        <w:t>I.</w:t>
      </w:r>
      <w:r w:rsidRPr="00AC4F4B">
        <w:rPr>
          <w:rFonts w:ascii="Times New Roman" w:hAnsi="Times New Roman"/>
          <w:b/>
          <w:bCs/>
          <w:color w:val="0000FF"/>
          <w:sz w:val="24"/>
          <w:szCs w:val="24"/>
        </w:rPr>
        <w:tab/>
        <w:t xml:space="preserve">The </w:t>
      </w:r>
      <w:r w:rsidR="009F0CF0" w:rsidRPr="00AC4F4B">
        <w:rPr>
          <w:rFonts w:ascii="Times New Roman" w:hAnsi="Times New Roman"/>
          <w:b/>
          <w:sz w:val="24"/>
          <w:szCs w:val="24"/>
        </w:rPr>
        <w:t>Bond Indenture</w:t>
      </w:r>
    </w:p>
    <w:p w14:paraId="3847E85D" w14:textId="77777777" w:rsidR="006E473A" w:rsidRDefault="006E473A" w:rsidP="00AC4F4B">
      <w:pPr>
        <w:pStyle w:val="List"/>
        <w:ind w:left="993" w:hanging="446"/>
        <w:rPr>
          <w:rFonts w:ascii="Times New Roman" w:hAnsi="Times New Roman"/>
        </w:rPr>
      </w:pPr>
      <w:r>
        <w:rPr>
          <w:rFonts w:ascii="Times New Roman" w:hAnsi="Times New Roman"/>
        </w:rPr>
        <w:t>A.</w:t>
      </w:r>
      <w:r>
        <w:rPr>
          <w:rFonts w:ascii="Times New Roman" w:hAnsi="Times New Roman"/>
        </w:rPr>
        <w:tab/>
        <w:t>Divide a large liability into many smaller liabilities (usually $1,000 per bond).</w:t>
      </w:r>
    </w:p>
    <w:p w14:paraId="39AA16F2" w14:textId="77777777" w:rsidR="006E473A" w:rsidRDefault="006E473A" w:rsidP="00AC4F4B">
      <w:pPr>
        <w:pStyle w:val="List"/>
        <w:ind w:left="993" w:hanging="446"/>
        <w:rPr>
          <w:rFonts w:ascii="Times New Roman" w:hAnsi="Times New Roman"/>
        </w:rPr>
      </w:pPr>
      <w:r>
        <w:rPr>
          <w:rFonts w:ascii="Times New Roman" w:hAnsi="Times New Roman"/>
        </w:rPr>
        <w:t>B.</w:t>
      </w:r>
      <w:r>
        <w:rPr>
          <w:rFonts w:ascii="Times New Roman" w:hAnsi="Times New Roman"/>
        </w:rPr>
        <w:tab/>
        <w:t xml:space="preserve">Obligate a company to repay a stated amount at a specified </w:t>
      </w:r>
      <w:r>
        <w:rPr>
          <w:rFonts w:ascii="Times New Roman" w:hAnsi="Times New Roman"/>
          <w:i/>
          <w:iCs/>
        </w:rPr>
        <w:t>maturity date</w:t>
      </w:r>
      <w:r>
        <w:rPr>
          <w:rFonts w:ascii="Times New Roman" w:hAnsi="Times New Roman"/>
        </w:rPr>
        <w:t xml:space="preserve"> and periodic </w:t>
      </w:r>
      <w:r>
        <w:rPr>
          <w:rFonts w:ascii="Times New Roman" w:hAnsi="Times New Roman"/>
          <w:i/>
          <w:iCs/>
        </w:rPr>
        <w:t>interest</w:t>
      </w:r>
      <w:r>
        <w:rPr>
          <w:rFonts w:ascii="Times New Roman" w:hAnsi="Times New Roman"/>
        </w:rPr>
        <w:t xml:space="preserve"> between the issue date and maturity.</w:t>
      </w:r>
    </w:p>
    <w:p w14:paraId="4D3F0F9D" w14:textId="77777777" w:rsidR="006E473A" w:rsidRDefault="006E473A" w:rsidP="00AC4F4B">
      <w:pPr>
        <w:pStyle w:val="List"/>
        <w:ind w:left="993" w:hanging="446"/>
        <w:rPr>
          <w:rFonts w:ascii="Times New Roman" w:hAnsi="Times New Roman"/>
        </w:rPr>
      </w:pPr>
      <w:r>
        <w:rPr>
          <w:rFonts w:ascii="Times New Roman" w:hAnsi="Times New Roman"/>
        </w:rPr>
        <w:t>C.</w:t>
      </w:r>
      <w:r>
        <w:rPr>
          <w:rFonts w:ascii="Times New Roman" w:hAnsi="Times New Roman"/>
        </w:rPr>
        <w:tab/>
        <w:t>Require periodic interest as a stated percentage of the face amount.</w:t>
      </w:r>
    </w:p>
    <w:p w14:paraId="0746E1BD" w14:textId="30B5492D" w:rsidR="006E473A" w:rsidRDefault="006E473A" w:rsidP="00AC4F4B">
      <w:pPr>
        <w:pStyle w:val="List"/>
        <w:ind w:left="993" w:hanging="446"/>
        <w:rPr>
          <w:rFonts w:ascii="Times New Roman" w:hAnsi="Times New Roman"/>
        </w:rPr>
      </w:pPr>
      <w:r>
        <w:rPr>
          <w:rFonts w:ascii="Times New Roman" w:hAnsi="Times New Roman"/>
        </w:rPr>
        <w:t>D.</w:t>
      </w:r>
      <w:r>
        <w:rPr>
          <w:rFonts w:ascii="Times New Roman" w:hAnsi="Times New Roman"/>
        </w:rPr>
        <w:tab/>
        <w:t>Pay interest semiannually (usually) on designated interest dates beginning six months after the day the bonds are “dated</w:t>
      </w:r>
      <w:r w:rsidR="00540986">
        <w:rPr>
          <w:rFonts w:ascii="Times New Roman" w:hAnsi="Times New Roman"/>
        </w:rPr>
        <w:t>.</w:t>
      </w:r>
      <w:r>
        <w:rPr>
          <w:rFonts w:ascii="Times New Roman" w:hAnsi="Times New Roman"/>
        </w:rPr>
        <w:t xml:space="preserve">”  </w:t>
      </w:r>
    </w:p>
    <w:p w14:paraId="454ED21F" w14:textId="77777777" w:rsidR="006E473A" w:rsidRDefault="006E473A" w:rsidP="00AC4F4B">
      <w:pPr>
        <w:pStyle w:val="List"/>
        <w:ind w:left="993" w:hanging="446"/>
        <w:rPr>
          <w:rFonts w:ascii="Times New Roman" w:hAnsi="Times New Roman"/>
          <w:sz w:val="28"/>
          <w:szCs w:val="28"/>
        </w:rPr>
      </w:pPr>
      <w:r>
        <w:rPr>
          <w:rFonts w:ascii="Times New Roman" w:hAnsi="Times New Roman"/>
        </w:rPr>
        <w:t>E.</w:t>
      </w:r>
      <w:r>
        <w:rPr>
          <w:rFonts w:ascii="Times New Roman" w:hAnsi="Times New Roman"/>
        </w:rPr>
        <w:tab/>
        <w:t xml:space="preserve">Make specific promises to bondholders who are described in a document called a bond indenture. </w:t>
      </w:r>
    </w:p>
    <w:p w14:paraId="7BDFCD85" w14:textId="77777777" w:rsidR="006E473A" w:rsidRDefault="006E473A" w:rsidP="00AC4F4B">
      <w:pPr>
        <w:pStyle w:val="List"/>
        <w:keepNext/>
        <w:ind w:left="980" w:hanging="440"/>
        <w:rPr>
          <w:rFonts w:ascii="Times New Roman" w:hAnsi="Times New Roman"/>
        </w:rPr>
      </w:pPr>
      <w:r>
        <w:rPr>
          <w:rFonts w:ascii="Times New Roman" w:hAnsi="Times New Roman"/>
        </w:rPr>
        <w:t>F.</w:t>
      </w:r>
      <w:r>
        <w:rPr>
          <w:rFonts w:ascii="Times New Roman" w:hAnsi="Times New Roman"/>
        </w:rPr>
        <w:tab/>
        <w:t xml:space="preserve">Represent a liability to the corporation that issues the bonds and an asset to a company that buys the bonds as an investment. </w:t>
      </w:r>
    </w:p>
    <w:p w14:paraId="35B220A8" w14:textId="77777777" w:rsidR="006A5390" w:rsidRDefault="006A5390" w:rsidP="00AC4F4B">
      <w:pPr>
        <w:pStyle w:val="List"/>
        <w:keepNext/>
        <w:ind w:left="980" w:hanging="440"/>
        <w:rPr>
          <w:rFonts w:ascii="Times New Roman" w:hAnsi="Times New Roman"/>
          <w:sz w:val="28"/>
          <w:szCs w:val="28"/>
        </w:rPr>
      </w:pPr>
    </w:p>
    <w:p w14:paraId="53DC547C" w14:textId="77777777" w:rsidR="006E473A" w:rsidRDefault="006E473A" w:rsidP="00AC4F4B">
      <w:pPr>
        <w:pStyle w:val="Entry000s"/>
        <w:keepNext/>
        <w:pBdr>
          <w:top w:val="none" w:sz="0" w:space="0" w:color="auto"/>
          <w:left w:val="none" w:sz="0" w:space="0" w:color="auto"/>
          <w:bottom w:val="none" w:sz="0" w:space="0" w:color="auto"/>
          <w:right w:val="none" w:sz="0" w:space="0" w:color="auto"/>
        </w:pBdr>
        <w:tabs>
          <w:tab w:val="clear" w:pos="720"/>
          <w:tab w:val="clear" w:pos="5040"/>
          <w:tab w:val="clear" w:pos="5940"/>
          <w:tab w:val="clear" w:pos="6740"/>
          <w:tab w:val="left" w:pos="1620"/>
          <w:tab w:val="decimal" w:leader="dot" w:pos="6660"/>
          <w:tab w:val="decimal" w:pos="7820"/>
          <w:tab w:val="decimal" w:pos="9180"/>
        </w:tabs>
        <w:ind w:left="1080" w:right="180"/>
        <w:rPr>
          <w:rFonts w:ascii="Times New Roman" w:hAnsi="Times New Roman"/>
          <w:b/>
          <w:bCs/>
          <w:color w:val="0000FF"/>
          <w:sz w:val="24"/>
          <w:szCs w:val="24"/>
        </w:rPr>
      </w:pPr>
      <w:r>
        <w:rPr>
          <w:rFonts w:ascii="Times New Roman" w:hAnsi="Times New Roman"/>
          <w:b/>
          <w:bCs/>
          <w:color w:val="0000FF"/>
          <w:sz w:val="24"/>
          <w:szCs w:val="24"/>
        </w:rPr>
        <w:t>Issuer</w:t>
      </w:r>
    </w:p>
    <w:p w14:paraId="46A20BE9" w14:textId="77777777" w:rsidR="006E473A" w:rsidRDefault="006E473A" w:rsidP="00AC4F4B">
      <w:pPr>
        <w:pStyle w:val="Entry000s"/>
        <w:keepNext/>
        <w:pBdr>
          <w:top w:val="none" w:sz="0" w:space="0" w:color="auto"/>
          <w:left w:val="none" w:sz="0" w:space="0" w:color="auto"/>
          <w:bottom w:val="none" w:sz="0" w:space="0" w:color="auto"/>
          <w:right w:val="none" w:sz="0" w:space="0" w:color="auto"/>
        </w:pBdr>
        <w:tabs>
          <w:tab w:val="clear" w:pos="720"/>
          <w:tab w:val="clear" w:pos="5040"/>
          <w:tab w:val="clear" w:pos="5300"/>
          <w:tab w:val="clear" w:pos="5940"/>
          <w:tab w:val="clear" w:pos="6740"/>
          <w:tab w:val="left" w:pos="360"/>
          <w:tab w:val="left" w:pos="1620"/>
          <w:tab w:val="decimal" w:leader="dot" w:pos="6660"/>
          <w:tab w:val="decimal" w:pos="7820"/>
          <w:tab w:val="decimal" w:pos="9180"/>
        </w:tabs>
        <w:ind w:left="1080" w:right="180"/>
        <w:rPr>
          <w:rFonts w:ascii="Times New Roman" w:hAnsi="Times New Roman"/>
          <w:sz w:val="24"/>
          <w:szCs w:val="24"/>
        </w:rPr>
      </w:pPr>
      <w:r>
        <w:rPr>
          <w:rFonts w:ascii="Times New Roman" w:hAnsi="Times New Roman"/>
          <w:sz w:val="24"/>
          <w:szCs w:val="24"/>
        </w:rPr>
        <w:t xml:space="preserve">Cash </w:t>
      </w:r>
      <w:r>
        <w:rPr>
          <w:rFonts w:ascii="Times New Roman" w:hAnsi="Times New Roman"/>
          <w:sz w:val="24"/>
          <w:szCs w:val="24"/>
        </w:rPr>
        <w:tab/>
      </w:r>
      <w:r>
        <w:rPr>
          <w:rFonts w:ascii="Times New Roman" w:hAnsi="Times New Roman"/>
          <w:sz w:val="24"/>
          <w:szCs w:val="24"/>
        </w:rPr>
        <w:tab/>
        <w:t>xxx</w:t>
      </w:r>
      <w:r>
        <w:rPr>
          <w:rFonts w:ascii="Times New Roman" w:hAnsi="Times New Roman"/>
          <w:sz w:val="24"/>
          <w:szCs w:val="24"/>
        </w:rPr>
        <w:br/>
      </w:r>
      <w:r>
        <w:rPr>
          <w:rFonts w:ascii="Times New Roman" w:hAnsi="Times New Roman"/>
          <w:sz w:val="24"/>
          <w:szCs w:val="24"/>
        </w:rPr>
        <w:tab/>
        <w:t>Bonds payable (face amount)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xxx</w:t>
      </w:r>
      <w:r>
        <w:rPr>
          <w:rFonts w:ascii="Times New Roman" w:hAnsi="Times New Roman"/>
          <w:sz w:val="24"/>
          <w:szCs w:val="24"/>
        </w:rPr>
        <w:br/>
      </w:r>
      <w:r>
        <w:rPr>
          <w:rFonts w:ascii="Times New Roman" w:hAnsi="Times New Roman"/>
          <w:sz w:val="24"/>
          <w:szCs w:val="24"/>
        </w:rPr>
        <w:br/>
        <w:t>I</w:t>
      </w:r>
      <w:r>
        <w:rPr>
          <w:rFonts w:ascii="Times New Roman" w:hAnsi="Times New Roman"/>
          <w:b/>
          <w:bCs/>
          <w:color w:val="0000FF"/>
          <w:sz w:val="24"/>
          <w:szCs w:val="24"/>
        </w:rPr>
        <w:t>nvestor</w:t>
      </w:r>
      <w:r>
        <w:rPr>
          <w:rFonts w:ascii="Times New Roman" w:hAnsi="Times New Roman"/>
          <w:b/>
          <w:bCs/>
          <w:color w:val="0000FF"/>
          <w:sz w:val="24"/>
          <w:szCs w:val="24"/>
        </w:rPr>
        <w:br/>
      </w:r>
      <w:r>
        <w:rPr>
          <w:rFonts w:ascii="Times New Roman" w:hAnsi="Times New Roman"/>
          <w:sz w:val="24"/>
          <w:szCs w:val="24"/>
        </w:rPr>
        <w:t>Investment in bonds (face amount)</w:t>
      </w:r>
      <w:r>
        <w:rPr>
          <w:rFonts w:ascii="Times New Roman" w:hAnsi="Times New Roman"/>
          <w:sz w:val="24"/>
          <w:szCs w:val="24"/>
        </w:rPr>
        <w:tab/>
      </w:r>
      <w:r>
        <w:rPr>
          <w:rFonts w:ascii="Times New Roman" w:hAnsi="Times New Roman"/>
          <w:sz w:val="24"/>
          <w:szCs w:val="24"/>
        </w:rPr>
        <w:tab/>
        <w:t>xxx</w:t>
      </w:r>
      <w:r>
        <w:rPr>
          <w:rFonts w:ascii="Times New Roman" w:hAnsi="Times New Roman"/>
          <w:sz w:val="24"/>
          <w:szCs w:val="24"/>
        </w:rPr>
        <w:br/>
      </w:r>
      <w:r>
        <w:rPr>
          <w:rFonts w:ascii="Times New Roman" w:hAnsi="Times New Roman"/>
          <w:sz w:val="24"/>
          <w:szCs w:val="24"/>
        </w:rPr>
        <w:tab/>
        <w:t>Cash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xxx</w:t>
      </w:r>
    </w:p>
    <w:p w14:paraId="51AFD4F1" w14:textId="320E469B" w:rsidR="006E473A" w:rsidRDefault="006E473A" w:rsidP="00ED26C5">
      <w:pPr>
        <w:pStyle w:val="Text"/>
        <w:spacing w:before="240" w:line="276" w:lineRule="auto"/>
        <w:ind w:firstLine="0"/>
        <w:jc w:val="left"/>
        <w:rPr>
          <w:rFonts w:ascii="Times New Roman" w:hAnsi="Times New Roman"/>
          <w:sz w:val="24"/>
          <w:szCs w:val="24"/>
        </w:rPr>
      </w:pPr>
      <w:r>
        <w:rPr>
          <w:rFonts w:ascii="Times New Roman" w:hAnsi="Times New Roman"/>
          <w:b/>
          <w:bCs/>
          <w:color w:val="0000FF"/>
          <w:sz w:val="24"/>
          <w:szCs w:val="24"/>
        </w:rPr>
        <w:t>II.</w:t>
      </w:r>
      <w:r>
        <w:rPr>
          <w:rFonts w:ascii="Times New Roman" w:hAnsi="Times New Roman"/>
          <w:b/>
          <w:bCs/>
          <w:color w:val="0000FF"/>
          <w:sz w:val="24"/>
          <w:szCs w:val="24"/>
        </w:rPr>
        <w:tab/>
      </w:r>
      <w:r w:rsidR="0068011A">
        <w:rPr>
          <w:rFonts w:ascii="Times New Roman" w:hAnsi="Times New Roman"/>
          <w:b/>
          <w:bCs/>
          <w:color w:val="0000FF"/>
          <w:sz w:val="24"/>
          <w:szCs w:val="24"/>
        </w:rPr>
        <w:t xml:space="preserve">Recording </w:t>
      </w:r>
      <w:r>
        <w:rPr>
          <w:rFonts w:ascii="Times New Roman" w:hAnsi="Times New Roman"/>
          <w:b/>
          <w:bCs/>
          <w:color w:val="0000FF"/>
          <w:sz w:val="24"/>
          <w:szCs w:val="24"/>
        </w:rPr>
        <w:t>Bonds</w:t>
      </w:r>
      <w:r w:rsidR="0068011A">
        <w:rPr>
          <w:rFonts w:ascii="Times New Roman" w:hAnsi="Times New Roman"/>
          <w:b/>
          <w:bCs/>
          <w:color w:val="0000FF"/>
          <w:sz w:val="24"/>
          <w:szCs w:val="24"/>
        </w:rPr>
        <w:t xml:space="preserve"> at Issuance</w:t>
      </w:r>
    </w:p>
    <w:p w14:paraId="6188FF96" w14:textId="68B784C5" w:rsidR="006E473A" w:rsidRDefault="006E473A" w:rsidP="00AC4F4B">
      <w:pPr>
        <w:pStyle w:val="List"/>
        <w:ind w:left="980" w:hanging="446"/>
        <w:rPr>
          <w:rFonts w:ascii="Times New Roman" w:hAnsi="Times New Roman"/>
        </w:rPr>
      </w:pPr>
      <w:r>
        <w:rPr>
          <w:rFonts w:ascii="Times New Roman" w:hAnsi="Times New Roman"/>
        </w:rPr>
        <w:t>A.</w:t>
      </w:r>
      <w:r>
        <w:rPr>
          <w:rFonts w:ascii="Times New Roman" w:hAnsi="Times New Roman"/>
        </w:rPr>
        <w:tab/>
      </w:r>
      <w:r w:rsidR="007D17B3">
        <w:rPr>
          <w:rFonts w:ascii="Times New Roman" w:hAnsi="Times New Roman"/>
        </w:rPr>
        <w:t>Forces of s</w:t>
      </w:r>
      <w:r>
        <w:rPr>
          <w:rFonts w:ascii="Times New Roman" w:hAnsi="Times New Roman"/>
        </w:rPr>
        <w:t>upply and demand cause a bond</w:t>
      </w:r>
      <w:r w:rsidR="007D17B3">
        <w:rPr>
          <w:rFonts w:ascii="Times New Roman" w:hAnsi="Times New Roman"/>
        </w:rPr>
        <w:t xml:space="preserve"> issue</w:t>
      </w:r>
      <w:r>
        <w:rPr>
          <w:rFonts w:ascii="Times New Roman" w:hAnsi="Times New Roman"/>
        </w:rPr>
        <w:t xml:space="preserve"> to be priced to yield the market rate of interest for securities of similar risk and maturity.</w:t>
      </w:r>
    </w:p>
    <w:p w14:paraId="5FC1F5C2" w14:textId="77777777" w:rsidR="006E473A" w:rsidRDefault="006E473A" w:rsidP="00AC4F4B">
      <w:pPr>
        <w:pStyle w:val="List"/>
        <w:ind w:left="1440" w:hanging="446"/>
        <w:rPr>
          <w:rFonts w:ascii="Times New Roman" w:hAnsi="Times New Roman"/>
        </w:rPr>
      </w:pPr>
      <w:r>
        <w:rPr>
          <w:rFonts w:ascii="Times New Roman" w:hAnsi="Times New Roman"/>
        </w:rPr>
        <w:t>1.</w:t>
      </w:r>
      <w:r>
        <w:rPr>
          <w:rFonts w:ascii="Times New Roman" w:hAnsi="Times New Roman"/>
        </w:rPr>
        <w:tab/>
        <w:t xml:space="preserve">Price can be calculated as the </w:t>
      </w:r>
      <w:r>
        <w:rPr>
          <w:rFonts w:ascii="Times New Roman" w:hAnsi="Times New Roman"/>
          <w:b/>
          <w:bCs/>
          <w:i/>
          <w:iCs/>
          <w:color w:val="0000FF"/>
        </w:rPr>
        <w:t>present value</w:t>
      </w:r>
      <w:r>
        <w:rPr>
          <w:rFonts w:ascii="Times New Roman" w:hAnsi="Times New Roman"/>
        </w:rPr>
        <w:t xml:space="preserve"> of all the cash flows required (principal and interest).</w:t>
      </w:r>
    </w:p>
    <w:p w14:paraId="2EFDEC45" w14:textId="77777777" w:rsidR="006E473A" w:rsidRDefault="006E473A" w:rsidP="00AC4F4B">
      <w:pPr>
        <w:pStyle w:val="List"/>
        <w:ind w:left="1440" w:hanging="446"/>
        <w:rPr>
          <w:rFonts w:ascii="Times New Roman" w:hAnsi="Times New Roman"/>
        </w:rPr>
      </w:pPr>
      <w:r>
        <w:rPr>
          <w:rFonts w:ascii="Times New Roman" w:hAnsi="Times New Roman"/>
        </w:rPr>
        <w:t>2.</w:t>
      </w:r>
      <w:r>
        <w:rPr>
          <w:rFonts w:ascii="Times New Roman" w:hAnsi="Times New Roman"/>
        </w:rPr>
        <w:tab/>
        <w:t xml:space="preserve">The discount rate is the market rate. </w:t>
      </w:r>
    </w:p>
    <w:p w14:paraId="5E5DCFE8" w14:textId="77777777" w:rsidR="006E473A" w:rsidRDefault="006E473A" w:rsidP="00AC4F4B">
      <w:pPr>
        <w:pStyle w:val="List"/>
        <w:ind w:left="980" w:hanging="446"/>
        <w:rPr>
          <w:rFonts w:ascii="Times New Roman" w:hAnsi="Times New Roman"/>
        </w:rPr>
      </w:pPr>
      <w:r>
        <w:rPr>
          <w:rFonts w:ascii="Times New Roman" w:hAnsi="Times New Roman"/>
        </w:rPr>
        <w:t>B.</w:t>
      </w:r>
      <w:r>
        <w:rPr>
          <w:rFonts w:ascii="Times New Roman" w:hAnsi="Times New Roman"/>
        </w:rPr>
        <w:tab/>
        <w:t>Other things being equal, the lower the perceived riskiness of the corporation issuing bonds, the higher the price those bonds will command.</w:t>
      </w:r>
    </w:p>
    <w:p w14:paraId="4FFDE400" w14:textId="636D58F3" w:rsidR="006E473A" w:rsidRDefault="006E473A" w:rsidP="00AC4F4B">
      <w:pPr>
        <w:pStyle w:val="List"/>
        <w:ind w:left="980" w:hanging="446"/>
        <w:rPr>
          <w:rFonts w:ascii="Times New Roman" w:hAnsi="Times New Roman"/>
        </w:rPr>
      </w:pPr>
      <w:r>
        <w:rPr>
          <w:rFonts w:ascii="Times New Roman" w:hAnsi="Times New Roman"/>
        </w:rPr>
        <w:t>C.</w:t>
      </w:r>
      <w:r>
        <w:rPr>
          <w:rFonts w:ascii="Times New Roman" w:hAnsi="Times New Roman"/>
        </w:rPr>
        <w:tab/>
        <w:t xml:space="preserve">When bond prices are quoted in financial media, they typically are stated in terms of a </w:t>
      </w:r>
      <w:r>
        <w:rPr>
          <w:rFonts w:ascii="Times New Roman" w:hAnsi="Times New Roman"/>
          <w:i/>
          <w:iCs/>
          <w:color w:val="0000FF"/>
        </w:rPr>
        <w:t>percentage of face amount</w:t>
      </w:r>
      <w:r>
        <w:rPr>
          <w:rFonts w:ascii="Times New Roman" w:hAnsi="Times New Roman"/>
        </w:rPr>
        <w:t>. So, a price quote of 97 means a $1,000 bond will sell for $970; a bond priced at 102 will sell for $1,020.</w:t>
      </w:r>
    </w:p>
    <w:p w14:paraId="5A20C358" w14:textId="74FA44E1" w:rsidR="006E473A" w:rsidRDefault="006E473A" w:rsidP="00ED26C5">
      <w:pPr>
        <w:pStyle w:val="Text"/>
        <w:spacing w:before="240" w:line="276" w:lineRule="auto"/>
        <w:ind w:firstLine="0"/>
        <w:jc w:val="left"/>
        <w:rPr>
          <w:rFonts w:ascii="Times New Roman" w:hAnsi="Times New Roman"/>
          <w:b/>
          <w:bCs/>
          <w:color w:val="0000FF"/>
          <w:sz w:val="28"/>
          <w:szCs w:val="28"/>
        </w:rPr>
      </w:pPr>
      <w:r>
        <w:rPr>
          <w:rFonts w:ascii="Times New Roman" w:hAnsi="Times New Roman"/>
          <w:b/>
          <w:bCs/>
          <w:color w:val="0000FF"/>
          <w:sz w:val="24"/>
          <w:szCs w:val="24"/>
        </w:rPr>
        <w:lastRenderedPageBreak/>
        <w:t>I</w:t>
      </w:r>
      <w:r w:rsidR="00D9784C">
        <w:rPr>
          <w:rFonts w:ascii="Times New Roman" w:hAnsi="Times New Roman"/>
          <w:b/>
          <w:bCs/>
          <w:color w:val="0000FF"/>
          <w:sz w:val="24"/>
          <w:szCs w:val="24"/>
        </w:rPr>
        <w:t>II</w:t>
      </w:r>
      <w:r>
        <w:rPr>
          <w:rFonts w:ascii="Times New Roman" w:hAnsi="Times New Roman"/>
          <w:b/>
          <w:bCs/>
          <w:color w:val="0000FF"/>
          <w:sz w:val="24"/>
          <w:szCs w:val="24"/>
        </w:rPr>
        <w:t>.</w:t>
      </w:r>
      <w:r>
        <w:rPr>
          <w:rFonts w:ascii="Times New Roman" w:hAnsi="Times New Roman"/>
          <w:b/>
          <w:bCs/>
          <w:color w:val="0000FF"/>
          <w:sz w:val="24"/>
          <w:szCs w:val="24"/>
        </w:rPr>
        <w:tab/>
      </w:r>
      <w:r w:rsidR="00194CDF">
        <w:rPr>
          <w:rFonts w:ascii="Times New Roman" w:hAnsi="Times New Roman"/>
          <w:b/>
          <w:bCs/>
          <w:color w:val="0000FF"/>
          <w:sz w:val="24"/>
          <w:szCs w:val="24"/>
        </w:rPr>
        <w:t xml:space="preserve">Determining </w:t>
      </w:r>
      <w:r>
        <w:rPr>
          <w:rFonts w:ascii="Times New Roman" w:hAnsi="Times New Roman"/>
          <w:b/>
          <w:bCs/>
          <w:color w:val="0000FF"/>
          <w:sz w:val="24"/>
          <w:szCs w:val="24"/>
        </w:rPr>
        <w:t>Interest</w:t>
      </w:r>
      <w:r w:rsidR="00194CDF">
        <w:rPr>
          <w:rFonts w:ascii="Times New Roman" w:hAnsi="Times New Roman"/>
          <w:b/>
          <w:bCs/>
          <w:color w:val="0000FF"/>
          <w:sz w:val="24"/>
          <w:szCs w:val="24"/>
        </w:rPr>
        <w:t>—Effective Interest Method</w:t>
      </w:r>
    </w:p>
    <w:p w14:paraId="35F2DDA9" w14:textId="77777777" w:rsidR="006E473A" w:rsidRDefault="006E473A" w:rsidP="00AC4F4B">
      <w:pPr>
        <w:pStyle w:val="List"/>
        <w:ind w:left="980" w:hanging="446"/>
        <w:rPr>
          <w:rFonts w:ascii="Times New Roman" w:hAnsi="Times New Roman"/>
        </w:rPr>
      </w:pPr>
      <w:r>
        <w:rPr>
          <w:rFonts w:ascii="Times New Roman" w:hAnsi="Times New Roman"/>
        </w:rPr>
        <w:t>A.</w:t>
      </w:r>
      <w:r>
        <w:rPr>
          <w:rFonts w:ascii="Times New Roman" w:hAnsi="Times New Roman"/>
        </w:rPr>
        <w:tab/>
        <w:t xml:space="preserve">Interest accrues at the effective market rate of interest multiplied by the outstanding balance </w:t>
      </w:r>
      <w:r w:rsidR="00800A08">
        <w:rPr>
          <w:rFonts w:ascii="Times New Roman" w:hAnsi="Times New Roman"/>
        </w:rPr>
        <w:t xml:space="preserve">(during the interest period).  </w:t>
      </w:r>
    </w:p>
    <w:p w14:paraId="412E7C4E" w14:textId="43404BB6" w:rsidR="006E473A" w:rsidRDefault="006E473A" w:rsidP="00AC4F4B">
      <w:pPr>
        <w:pStyle w:val="List"/>
        <w:ind w:left="980" w:hanging="446"/>
        <w:rPr>
          <w:rFonts w:ascii="Times New Roman" w:hAnsi="Times New Roman"/>
        </w:rPr>
      </w:pPr>
      <w:r>
        <w:rPr>
          <w:rFonts w:ascii="Times New Roman" w:hAnsi="Times New Roman"/>
        </w:rPr>
        <w:t>B.</w:t>
      </w:r>
      <w:r>
        <w:rPr>
          <w:rFonts w:ascii="Times New Roman" w:hAnsi="Times New Roman"/>
        </w:rPr>
        <w:tab/>
        <w:t xml:space="preserve">When only a portion of an expense is paid by the periodic cash interest payment, the remainder becomes a liability (or an addition to the already outstanding liability). </w:t>
      </w:r>
      <w:r w:rsidR="00784CCC">
        <w:rPr>
          <w:rFonts w:ascii="Times New Roman" w:hAnsi="Times New Roman"/>
        </w:rPr>
        <w:t>T</w:t>
      </w:r>
      <w:r>
        <w:rPr>
          <w:rFonts w:ascii="Times New Roman" w:hAnsi="Times New Roman"/>
        </w:rPr>
        <w:t>he difference increases the liability and is reflected as a reduction in the d</w:t>
      </w:r>
      <w:r w:rsidR="00800A08">
        <w:rPr>
          <w:rFonts w:ascii="Times New Roman" w:hAnsi="Times New Roman"/>
        </w:rPr>
        <w:t xml:space="preserve">iscount (a valuation account). </w:t>
      </w:r>
    </w:p>
    <w:p w14:paraId="0A416D71" w14:textId="27584D41" w:rsidR="00D479DF" w:rsidRDefault="006E473A" w:rsidP="00AC4F4B">
      <w:pPr>
        <w:pStyle w:val="List"/>
        <w:ind w:left="980" w:hanging="446"/>
        <w:rPr>
          <w:rFonts w:ascii="Times New Roman" w:hAnsi="Times New Roman"/>
        </w:rPr>
      </w:pPr>
      <w:r>
        <w:rPr>
          <w:rFonts w:ascii="Times New Roman" w:hAnsi="Times New Roman"/>
        </w:rPr>
        <w:t>C.</w:t>
      </w:r>
      <w:r>
        <w:rPr>
          <w:rFonts w:ascii="Times New Roman" w:hAnsi="Times New Roman"/>
        </w:rPr>
        <w:tab/>
        <w:t xml:space="preserve">Because the balance of the debt changes each period, the dollar amount of interest (balance </w:t>
      </w:r>
      <w:r w:rsidR="00784CCC">
        <w:rPr>
          <w:rFonts w:ascii="Times New Roman" w:hAnsi="Times New Roman"/>
        </w:rPr>
        <w:t>×</w:t>
      </w:r>
      <w:r>
        <w:rPr>
          <w:rFonts w:ascii="Times New Roman" w:hAnsi="Times New Roman"/>
        </w:rPr>
        <w:t xml:space="preserve"> rate) also will change each period. To keep up with the changing amounts, it usually is convenient to prepare a schedule that reflects the changes in the debt</w:t>
      </w:r>
      <w:r w:rsidR="00800A08">
        <w:rPr>
          <w:rFonts w:ascii="Times New Roman" w:hAnsi="Times New Roman"/>
        </w:rPr>
        <w:t xml:space="preserve"> over its term to maturity. </w:t>
      </w:r>
    </w:p>
    <w:p w14:paraId="2F6382FF" w14:textId="0198890A" w:rsidR="006E473A" w:rsidRDefault="00D479DF" w:rsidP="00AC4F4B">
      <w:pPr>
        <w:pStyle w:val="List"/>
        <w:ind w:left="980" w:hanging="446"/>
        <w:rPr>
          <w:rFonts w:ascii="Times New Roman" w:hAnsi="Times New Roman"/>
        </w:rPr>
      </w:pPr>
      <w:r>
        <w:rPr>
          <w:rFonts w:ascii="Times New Roman" w:hAnsi="Times New Roman"/>
          <w:bCs/>
          <w:color w:val="0000FF"/>
        </w:rPr>
        <w:t>D.</w:t>
      </w:r>
      <w:r>
        <w:rPr>
          <w:rFonts w:ascii="Times New Roman" w:hAnsi="Times New Roman"/>
          <w:bCs/>
          <w:color w:val="0000FF"/>
        </w:rPr>
        <w:tab/>
      </w:r>
      <w:r w:rsidRPr="003B3395">
        <w:rPr>
          <w:rFonts w:ascii="Times New Roman" w:hAnsi="Times New Roman"/>
          <w:bCs/>
          <w:color w:val="0000FF"/>
        </w:rPr>
        <w:t xml:space="preserve">A </w:t>
      </w:r>
      <w:r w:rsidRPr="003B3395">
        <w:rPr>
          <w:rFonts w:ascii="Times New Roman" w:hAnsi="Times New Roman"/>
        </w:rPr>
        <w:t>zero-coupon bond pays no interest but, instead, offers a return in the form of a “deep discount” from the face amount.</w:t>
      </w:r>
      <w:r>
        <w:t xml:space="preserve">  </w:t>
      </w:r>
    </w:p>
    <w:p w14:paraId="2485DFDC" w14:textId="53CDF09D" w:rsidR="00D479DF" w:rsidRDefault="00D479DF" w:rsidP="00AC4F4B">
      <w:pPr>
        <w:pStyle w:val="List"/>
        <w:ind w:left="990" w:hanging="450"/>
        <w:rPr>
          <w:rFonts w:ascii="Times New Roman" w:hAnsi="Times New Roman"/>
        </w:rPr>
      </w:pPr>
      <w:r>
        <w:rPr>
          <w:rFonts w:ascii="Times New Roman" w:hAnsi="Times New Roman"/>
        </w:rPr>
        <w:t>E</w:t>
      </w:r>
      <w:r w:rsidR="006E473A">
        <w:rPr>
          <w:rFonts w:ascii="Times New Roman" w:hAnsi="Times New Roman"/>
        </w:rPr>
        <w:t>.</w:t>
      </w:r>
      <w:r w:rsidR="006E473A">
        <w:rPr>
          <w:rFonts w:ascii="Times New Roman" w:hAnsi="Times New Roman"/>
        </w:rPr>
        <w:tab/>
        <w:t xml:space="preserve">If an accounting period ends </w:t>
      </w:r>
      <w:r w:rsidR="006E473A">
        <w:rPr>
          <w:rFonts w:ascii="Times New Roman" w:hAnsi="Times New Roman"/>
          <w:i/>
          <w:iCs/>
          <w:color w:val="0000FF"/>
        </w:rPr>
        <w:t>between interest dates</w:t>
      </w:r>
      <w:r w:rsidR="006E473A">
        <w:rPr>
          <w:rFonts w:ascii="Times New Roman" w:hAnsi="Times New Roman"/>
        </w:rPr>
        <w:t xml:space="preserve">, it is necessary to record interest that has accrued </w:t>
      </w:r>
      <w:r w:rsidR="00800A08">
        <w:rPr>
          <w:rFonts w:ascii="Times New Roman" w:hAnsi="Times New Roman"/>
        </w:rPr>
        <w:t xml:space="preserve">since the last interest date. </w:t>
      </w:r>
    </w:p>
    <w:p w14:paraId="782A209D" w14:textId="59580C24" w:rsidR="006E473A" w:rsidRDefault="00D479DF" w:rsidP="00AC4F4B">
      <w:pPr>
        <w:pStyle w:val="List"/>
        <w:ind w:left="990" w:hanging="450"/>
      </w:pPr>
      <w:r>
        <w:rPr>
          <w:rFonts w:ascii="Times New Roman" w:hAnsi="Times New Roman"/>
        </w:rPr>
        <w:t>F.</w:t>
      </w:r>
      <w:r>
        <w:rPr>
          <w:rFonts w:ascii="Times New Roman" w:hAnsi="Times New Roman"/>
        </w:rPr>
        <w:tab/>
      </w:r>
      <w:r w:rsidR="006E473A">
        <w:rPr>
          <w:rFonts w:ascii="Times New Roman" w:hAnsi="Times New Roman"/>
        </w:rPr>
        <w:t>Alternatively, a company is permitted to allocate a discount or a premium equally to each period over the term to maturity if doing so produces results that are not materially diffe</w:t>
      </w:r>
      <w:r w:rsidR="00800A08">
        <w:rPr>
          <w:rFonts w:ascii="Times New Roman" w:hAnsi="Times New Roman"/>
        </w:rPr>
        <w:t xml:space="preserve">rent from the interest method. </w:t>
      </w:r>
    </w:p>
    <w:p w14:paraId="707C597B" w14:textId="673D00E4" w:rsidR="000B1834" w:rsidRDefault="000B1834" w:rsidP="00ED26C5">
      <w:pPr>
        <w:pStyle w:val="Text"/>
        <w:spacing w:before="240" w:line="276" w:lineRule="auto"/>
        <w:ind w:left="540" w:hanging="540"/>
        <w:jc w:val="left"/>
        <w:rPr>
          <w:rFonts w:ascii="Times New Roman" w:hAnsi="Times New Roman"/>
          <w:b/>
          <w:bCs/>
          <w:color w:val="0000FF"/>
          <w:sz w:val="24"/>
          <w:szCs w:val="24"/>
        </w:rPr>
      </w:pPr>
      <w:r>
        <w:rPr>
          <w:rFonts w:ascii="Times New Roman" w:hAnsi="Times New Roman"/>
          <w:b/>
          <w:bCs/>
          <w:color w:val="0000FF"/>
          <w:sz w:val="24"/>
          <w:szCs w:val="24"/>
        </w:rPr>
        <w:t>IV.</w:t>
      </w:r>
      <w:r>
        <w:rPr>
          <w:rFonts w:ascii="Times New Roman" w:hAnsi="Times New Roman"/>
          <w:b/>
          <w:bCs/>
          <w:color w:val="0000FF"/>
          <w:sz w:val="24"/>
          <w:szCs w:val="24"/>
        </w:rPr>
        <w:tab/>
        <w:t>The Straight-Line Method—A Practical Expediency</w:t>
      </w:r>
    </w:p>
    <w:p w14:paraId="611FDD83" w14:textId="4A9186E2" w:rsidR="002116C2" w:rsidRPr="00AC4F4B" w:rsidRDefault="002116C2" w:rsidP="009D3F29">
      <w:pPr>
        <w:pStyle w:val="Text"/>
        <w:spacing w:before="240" w:line="276" w:lineRule="auto"/>
        <w:ind w:left="990" w:hanging="450"/>
        <w:jc w:val="left"/>
        <w:rPr>
          <w:rFonts w:ascii="Times New Roman" w:hAnsi="Times New Roman"/>
          <w:bCs/>
          <w:color w:val="0000FF"/>
          <w:sz w:val="24"/>
          <w:szCs w:val="24"/>
        </w:rPr>
      </w:pPr>
      <w:r w:rsidRPr="00AC4F4B">
        <w:rPr>
          <w:rFonts w:ascii="Times New Roman" w:hAnsi="Times New Roman"/>
          <w:bCs/>
          <w:color w:val="0000FF"/>
          <w:sz w:val="24"/>
          <w:szCs w:val="24"/>
        </w:rPr>
        <w:t>A.</w:t>
      </w:r>
      <w:r w:rsidR="009D3F29" w:rsidRPr="009D3F29">
        <w:rPr>
          <w:rFonts w:ascii="Times New Roman" w:hAnsi="Times New Roman"/>
          <w:bCs/>
          <w:color w:val="0000FF"/>
          <w:sz w:val="24"/>
          <w:szCs w:val="24"/>
        </w:rPr>
        <w:tab/>
      </w:r>
      <w:r w:rsidRPr="00AC4F4B">
        <w:rPr>
          <w:rFonts w:ascii="Times New Roman" w:hAnsi="Times New Roman"/>
          <w:color w:val="221E1F"/>
          <w:sz w:val="24"/>
          <w:szCs w:val="24"/>
        </w:rPr>
        <w:t xml:space="preserve">A company is allowed to determine interest indirectly by allocating a discount or a premium equally to each period over the term to maturity—if doing so produces results that are not materially different from the usual (and preferable) interest method. The decision should be guided by whether the </w:t>
      </w:r>
      <w:r w:rsidRPr="00AC4F4B">
        <w:rPr>
          <w:rFonts w:ascii="Times New Roman" w:hAnsi="Times New Roman"/>
          <w:bCs/>
          <w:color w:val="00AEEF"/>
          <w:sz w:val="24"/>
          <w:szCs w:val="24"/>
        </w:rPr>
        <w:t>straight-line method</w:t>
      </w:r>
      <w:r w:rsidRPr="00AC4F4B">
        <w:rPr>
          <w:rFonts w:ascii="Times New Roman" w:hAnsi="Times New Roman"/>
          <w:b/>
          <w:bCs/>
          <w:color w:val="00AEEF"/>
          <w:sz w:val="24"/>
          <w:szCs w:val="24"/>
        </w:rPr>
        <w:t xml:space="preserve"> </w:t>
      </w:r>
      <w:r w:rsidRPr="00AC4F4B">
        <w:rPr>
          <w:rFonts w:ascii="Times New Roman" w:hAnsi="Times New Roman"/>
          <w:color w:val="221E1F"/>
          <w:sz w:val="24"/>
          <w:szCs w:val="24"/>
        </w:rPr>
        <w:t>would tend to mislead investors and creditors in the particular circumstance.</w:t>
      </w:r>
    </w:p>
    <w:p w14:paraId="03321B1A" w14:textId="464772F2" w:rsidR="006E473A" w:rsidRDefault="006E473A" w:rsidP="00ED26C5">
      <w:pPr>
        <w:pStyle w:val="Text"/>
        <w:spacing w:before="240" w:line="276" w:lineRule="auto"/>
        <w:ind w:left="540" w:hanging="540"/>
        <w:jc w:val="left"/>
        <w:rPr>
          <w:rFonts w:ascii="Times New Roman" w:hAnsi="Times New Roman"/>
          <w:b/>
          <w:bCs/>
          <w:color w:val="0000FF"/>
          <w:sz w:val="24"/>
          <w:szCs w:val="24"/>
        </w:rPr>
      </w:pPr>
      <w:r>
        <w:rPr>
          <w:rFonts w:ascii="Times New Roman" w:hAnsi="Times New Roman"/>
          <w:b/>
          <w:bCs/>
          <w:color w:val="0000FF"/>
          <w:sz w:val="24"/>
          <w:szCs w:val="24"/>
        </w:rPr>
        <w:t>V.</w:t>
      </w:r>
      <w:r>
        <w:rPr>
          <w:rFonts w:ascii="Times New Roman" w:hAnsi="Times New Roman"/>
          <w:b/>
          <w:bCs/>
          <w:color w:val="0000FF"/>
          <w:sz w:val="24"/>
          <w:szCs w:val="24"/>
        </w:rPr>
        <w:tab/>
        <w:t>Debt Issue Costs</w:t>
      </w:r>
    </w:p>
    <w:p w14:paraId="344675DC" w14:textId="77777777" w:rsidR="006E473A" w:rsidRDefault="006E473A" w:rsidP="00AC4F4B">
      <w:pPr>
        <w:pStyle w:val="List"/>
        <w:ind w:left="980" w:hanging="446"/>
        <w:rPr>
          <w:rFonts w:ascii="Times New Roman" w:hAnsi="Times New Roman"/>
        </w:rPr>
      </w:pPr>
      <w:r>
        <w:rPr>
          <w:rFonts w:ascii="Times New Roman" w:hAnsi="Times New Roman"/>
        </w:rPr>
        <w:t>A.</w:t>
      </w:r>
      <w:r>
        <w:rPr>
          <w:rFonts w:ascii="Times New Roman" w:hAnsi="Times New Roman"/>
        </w:rPr>
        <w:tab/>
        <w:t xml:space="preserve">They include legal and accounting fees and printing costs in addition to registration and underwriting fees.  </w:t>
      </w:r>
    </w:p>
    <w:p w14:paraId="0E24425B" w14:textId="77777777" w:rsidR="00794D8E" w:rsidRDefault="006E473A" w:rsidP="00AC4F4B">
      <w:pPr>
        <w:pStyle w:val="List"/>
        <w:ind w:left="980" w:hanging="446"/>
        <w:rPr>
          <w:rFonts w:ascii="Times New Roman" w:hAnsi="Times New Roman"/>
        </w:rPr>
      </w:pPr>
      <w:r>
        <w:rPr>
          <w:rFonts w:ascii="Times New Roman" w:hAnsi="Times New Roman"/>
        </w:rPr>
        <w:t>B.</w:t>
      </w:r>
      <w:r>
        <w:rPr>
          <w:rFonts w:ascii="Times New Roman" w:hAnsi="Times New Roman"/>
        </w:rPr>
        <w:tab/>
        <w:t xml:space="preserve">Costs of issuing debt securities are </w:t>
      </w:r>
      <w:r w:rsidR="00794D8E" w:rsidRPr="00794D8E">
        <w:rPr>
          <w:rFonts w:ascii="Times New Roman" w:hAnsi="Times New Roman"/>
        </w:rPr>
        <w:t>added to any discount or subtracted from any premium.</w:t>
      </w:r>
    </w:p>
    <w:p w14:paraId="201267D7" w14:textId="77777777" w:rsidR="006E473A" w:rsidRDefault="006E473A" w:rsidP="00AC4F4B">
      <w:pPr>
        <w:pStyle w:val="List"/>
        <w:ind w:left="980" w:hanging="446"/>
        <w:rPr>
          <w:rFonts w:ascii="Times New Roman" w:hAnsi="Times New Roman"/>
          <w:sz w:val="28"/>
          <w:szCs w:val="28"/>
        </w:rPr>
      </w:pPr>
      <w:r>
        <w:rPr>
          <w:rFonts w:ascii="Times New Roman" w:hAnsi="Times New Roman"/>
        </w:rPr>
        <w:t>C.</w:t>
      </w:r>
      <w:r>
        <w:rPr>
          <w:rFonts w:ascii="Times New Roman" w:hAnsi="Times New Roman"/>
        </w:rPr>
        <w:tab/>
      </w:r>
      <w:r w:rsidR="00794D8E" w:rsidRPr="00794D8E">
        <w:rPr>
          <w:rFonts w:ascii="Times New Roman" w:hAnsi="Times New Roman"/>
        </w:rPr>
        <w:t>The combined valuation account is reported in the balance sheet as a direct deduction from the liability</w:t>
      </w:r>
      <w:r>
        <w:rPr>
          <w:rFonts w:ascii="Times New Roman" w:hAnsi="Times New Roman"/>
        </w:rPr>
        <w:t>.</w:t>
      </w:r>
      <w:r>
        <w:rPr>
          <w:rFonts w:ascii="Times New Roman" w:hAnsi="Times New Roman"/>
          <w:i/>
          <w:iCs/>
        </w:rPr>
        <w:t xml:space="preserve"> </w:t>
      </w:r>
    </w:p>
    <w:p w14:paraId="7D266138" w14:textId="77777777" w:rsidR="006E473A" w:rsidRDefault="00794D8E" w:rsidP="00ED26C5">
      <w:pPr>
        <w:pStyle w:val="List"/>
        <w:tabs>
          <w:tab w:val="left" w:pos="3378"/>
        </w:tabs>
        <w:spacing w:line="276" w:lineRule="auto"/>
        <w:ind w:left="540" w:firstLine="0"/>
        <w:rPr>
          <w:rFonts w:ascii="Times New Roman" w:hAnsi="Times New Roman"/>
          <w:sz w:val="28"/>
          <w:szCs w:val="28"/>
        </w:rPr>
      </w:pPr>
      <w:r>
        <w:rPr>
          <w:rFonts w:ascii="Times New Roman" w:hAnsi="Times New Roman"/>
          <w:sz w:val="28"/>
          <w:szCs w:val="28"/>
        </w:rPr>
        <w:tab/>
      </w:r>
    </w:p>
    <w:p w14:paraId="446C9170" w14:textId="77777777" w:rsidR="006E473A" w:rsidRDefault="006E473A" w:rsidP="00ED26C5">
      <w:pPr>
        <w:pStyle w:val="Text"/>
        <w:spacing w:line="276" w:lineRule="auto"/>
        <w:ind w:firstLine="0"/>
        <w:rPr>
          <w:rFonts w:ascii="Times New Roman" w:hAnsi="Times New Roman"/>
          <w:b/>
          <w:bCs/>
          <w:color w:val="0000FF"/>
          <w:sz w:val="28"/>
          <w:szCs w:val="28"/>
        </w:rPr>
      </w:pPr>
      <w:r>
        <w:rPr>
          <w:rFonts w:ascii="Times New Roman" w:hAnsi="Times New Roman"/>
          <w:b/>
          <w:bCs/>
          <w:color w:val="0000FF"/>
          <w:sz w:val="28"/>
          <w:szCs w:val="28"/>
        </w:rPr>
        <w:t>Part B: Long-Term Notes</w:t>
      </w:r>
    </w:p>
    <w:p w14:paraId="14144557" w14:textId="70ED021A" w:rsidR="006E473A" w:rsidRDefault="006E473A" w:rsidP="00ED26C5">
      <w:pPr>
        <w:pStyle w:val="Comment"/>
        <w:framePr w:w="0" w:hSpace="0" w:vSpace="0" w:wrap="auto" w:hAnchor="text"/>
        <w:tabs>
          <w:tab w:val="clear" w:pos="260"/>
          <w:tab w:val="left" w:pos="450"/>
        </w:tabs>
        <w:spacing w:before="240" w:line="276" w:lineRule="auto"/>
        <w:rPr>
          <w:rFonts w:ascii="Times New Roman" w:hAnsi="Times New Roman"/>
          <w:b/>
          <w:bCs/>
          <w:sz w:val="24"/>
          <w:szCs w:val="24"/>
        </w:rPr>
      </w:pPr>
      <w:r>
        <w:rPr>
          <w:rFonts w:ascii="Times New Roman" w:hAnsi="Times New Roman"/>
          <w:b/>
          <w:bCs/>
          <w:sz w:val="24"/>
          <w:szCs w:val="24"/>
        </w:rPr>
        <w:t>I.</w:t>
      </w:r>
      <w:r>
        <w:rPr>
          <w:rFonts w:ascii="Times New Roman" w:hAnsi="Times New Roman"/>
          <w:b/>
          <w:bCs/>
          <w:sz w:val="24"/>
          <w:szCs w:val="24"/>
        </w:rPr>
        <w:tab/>
      </w:r>
      <w:r>
        <w:rPr>
          <w:rFonts w:ascii="Times New Roman" w:hAnsi="Times New Roman"/>
          <w:b/>
          <w:bCs/>
          <w:sz w:val="24"/>
          <w:szCs w:val="24"/>
        </w:rPr>
        <w:tab/>
        <w:t>Note</w:t>
      </w:r>
      <w:r w:rsidR="00A0430B">
        <w:rPr>
          <w:rFonts w:ascii="Times New Roman" w:hAnsi="Times New Roman"/>
          <w:b/>
          <w:bCs/>
          <w:sz w:val="24"/>
          <w:szCs w:val="24"/>
        </w:rPr>
        <w:t xml:space="preserve"> Issued for Cash</w:t>
      </w:r>
      <w:r>
        <w:rPr>
          <w:rFonts w:ascii="Times New Roman" w:hAnsi="Times New Roman"/>
          <w:b/>
          <w:bCs/>
          <w:sz w:val="24"/>
          <w:szCs w:val="24"/>
        </w:rPr>
        <w:t xml:space="preserve"> </w:t>
      </w:r>
      <w:r>
        <w:rPr>
          <w:rFonts w:ascii="Times New Roman" w:hAnsi="Times New Roman"/>
          <w:sz w:val="24"/>
          <w:szCs w:val="24"/>
        </w:rPr>
        <w:t xml:space="preserve"> </w:t>
      </w:r>
    </w:p>
    <w:p w14:paraId="279ADF39" w14:textId="77777777" w:rsidR="00920730" w:rsidRPr="00920730" w:rsidRDefault="006E473A" w:rsidP="00AC4F4B">
      <w:pPr>
        <w:pStyle w:val="List"/>
        <w:ind w:left="980" w:hanging="446"/>
        <w:rPr>
          <w:rFonts w:ascii="Times New Roman" w:hAnsi="Times New Roman"/>
        </w:rPr>
      </w:pPr>
      <w:r w:rsidRPr="00920730">
        <w:rPr>
          <w:rFonts w:ascii="Times New Roman" w:hAnsi="Times New Roman"/>
        </w:rPr>
        <w:t>A.</w:t>
      </w:r>
      <w:r w:rsidRPr="00920730">
        <w:rPr>
          <w:rFonts w:ascii="Times New Roman" w:hAnsi="Times New Roman"/>
        </w:rPr>
        <w:tab/>
        <w:t>In concept, notes are accounted for in precisely</w:t>
      </w:r>
      <w:r w:rsidR="00ED787B" w:rsidRPr="00920730">
        <w:rPr>
          <w:rFonts w:ascii="Times New Roman" w:hAnsi="Times New Roman"/>
        </w:rPr>
        <w:t xml:space="preserve"> the same way as bonds.</w:t>
      </w:r>
    </w:p>
    <w:p w14:paraId="3FBEBDC7" w14:textId="4EA2DFA9" w:rsidR="00043713" w:rsidRDefault="00920730" w:rsidP="00AC4F4B">
      <w:pPr>
        <w:pStyle w:val="List"/>
        <w:ind w:left="980" w:hanging="446"/>
        <w:rPr>
          <w:rFonts w:ascii="Times New Roman" w:hAnsi="Times New Roman"/>
          <w:color w:val="221E1F"/>
        </w:rPr>
      </w:pPr>
      <w:r w:rsidRPr="00920730">
        <w:rPr>
          <w:rFonts w:ascii="Times New Roman" w:hAnsi="Times New Roman"/>
        </w:rPr>
        <w:t>B.</w:t>
      </w:r>
      <w:r w:rsidRPr="00920730">
        <w:rPr>
          <w:rFonts w:ascii="Times New Roman" w:hAnsi="Times New Roman"/>
        </w:rPr>
        <w:tab/>
      </w:r>
      <w:r w:rsidRPr="00AC4F4B">
        <w:rPr>
          <w:rFonts w:ascii="Times New Roman" w:hAnsi="Times New Roman"/>
          <w:color w:val="221E1F"/>
        </w:rPr>
        <w:t>The interest rate stated in a note is likely to be equal to the market rate because the rate usu</w:t>
      </w:r>
      <w:r w:rsidRPr="00AC4F4B">
        <w:rPr>
          <w:rFonts w:ascii="Times New Roman" w:hAnsi="Times New Roman"/>
          <w:color w:val="221E1F"/>
        </w:rPr>
        <w:softHyphen/>
        <w:t xml:space="preserve">ally is negotiated at the time of the loan. So discounts and premiums are less likely for notes than for bonds. </w:t>
      </w:r>
    </w:p>
    <w:p w14:paraId="596B382D" w14:textId="77777777" w:rsidR="00515D06" w:rsidRDefault="00515D06" w:rsidP="00AC4F4B">
      <w:pPr>
        <w:pStyle w:val="List"/>
        <w:ind w:left="980" w:hanging="446"/>
        <w:rPr>
          <w:rFonts w:ascii="Times New Roman" w:hAnsi="Times New Roman"/>
          <w:color w:val="221E1F"/>
        </w:rPr>
      </w:pPr>
    </w:p>
    <w:p w14:paraId="68B4D14D" w14:textId="4F7693BC" w:rsidR="006E473A" w:rsidRPr="00AC4F4B" w:rsidRDefault="007144FB" w:rsidP="00AC4F4B">
      <w:pPr>
        <w:pStyle w:val="Comment"/>
        <w:framePr w:w="0" w:hSpace="0" w:vSpace="0" w:wrap="auto" w:hAnchor="text"/>
        <w:tabs>
          <w:tab w:val="clear" w:pos="260"/>
          <w:tab w:val="left" w:pos="450"/>
        </w:tabs>
        <w:spacing w:before="240" w:line="276" w:lineRule="auto"/>
        <w:rPr>
          <w:rFonts w:ascii="Times New Roman" w:hAnsi="Times New Roman"/>
          <w:b/>
          <w:bCs/>
          <w:sz w:val="24"/>
          <w:szCs w:val="24"/>
        </w:rPr>
      </w:pPr>
      <w:r>
        <w:rPr>
          <w:rFonts w:ascii="Times New Roman" w:hAnsi="Times New Roman"/>
          <w:b/>
          <w:bCs/>
          <w:sz w:val="24"/>
          <w:szCs w:val="24"/>
        </w:rPr>
        <w:lastRenderedPageBreak/>
        <w:t>II.</w:t>
      </w:r>
      <w:r>
        <w:rPr>
          <w:rFonts w:ascii="Times New Roman" w:hAnsi="Times New Roman"/>
          <w:b/>
          <w:bCs/>
          <w:sz w:val="24"/>
          <w:szCs w:val="24"/>
        </w:rPr>
        <w:tab/>
      </w:r>
      <w:r>
        <w:rPr>
          <w:rFonts w:ascii="Times New Roman" w:hAnsi="Times New Roman"/>
          <w:b/>
          <w:bCs/>
          <w:sz w:val="24"/>
          <w:szCs w:val="24"/>
        </w:rPr>
        <w:tab/>
        <w:t xml:space="preserve">Note Exchanged for Assets or Services </w:t>
      </w:r>
    </w:p>
    <w:p w14:paraId="7BCE67BD" w14:textId="130E698B" w:rsidR="006E473A" w:rsidRDefault="00043713" w:rsidP="00AC4F4B">
      <w:pPr>
        <w:pStyle w:val="List"/>
        <w:ind w:left="980" w:hanging="446"/>
        <w:rPr>
          <w:rFonts w:ascii="Times New Roman" w:hAnsi="Times New Roman"/>
        </w:rPr>
      </w:pPr>
      <w:r>
        <w:rPr>
          <w:rFonts w:ascii="Times New Roman" w:hAnsi="Times New Roman"/>
        </w:rPr>
        <w:t>A</w:t>
      </w:r>
      <w:r w:rsidR="006E473A">
        <w:rPr>
          <w:rFonts w:ascii="Times New Roman" w:hAnsi="Times New Roman"/>
        </w:rPr>
        <w:t>.</w:t>
      </w:r>
      <w:r w:rsidR="006E473A">
        <w:rPr>
          <w:rFonts w:ascii="Times New Roman" w:hAnsi="Times New Roman"/>
        </w:rPr>
        <w:tab/>
        <w:t>When a note is issued with an unrealistic interest rate, the effective market rate is used both to determine the amount recorded in the transaction and to record perio</w:t>
      </w:r>
      <w:r w:rsidR="00ED787B">
        <w:rPr>
          <w:rFonts w:ascii="Times New Roman" w:hAnsi="Times New Roman"/>
        </w:rPr>
        <w:t>dic interest thereaf</w:t>
      </w:r>
      <w:r w:rsidR="00800A08">
        <w:rPr>
          <w:rFonts w:ascii="Times New Roman" w:hAnsi="Times New Roman"/>
        </w:rPr>
        <w:t xml:space="preserve">ter. </w:t>
      </w:r>
    </w:p>
    <w:p w14:paraId="386EA5A9" w14:textId="77777777" w:rsidR="006E473A" w:rsidRDefault="006E473A" w:rsidP="00AC4F4B">
      <w:pPr>
        <w:pStyle w:val="List"/>
        <w:ind w:left="1440" w:hanging="446"/>
        <w:rPr>
          <w:rFonts w:ascii="Times New Roman" w:hAnsi="Times New Roman"/>
        </w:rPr>
      </w:pPr>
      <w:r>
        <w:rPr>
          <w:rFonts w:ascii="Times New Roman" w:hAnsi="Times New Roman"/>
        </w:rPr>
        <w:t>1.</w:t>
      </w:r>
      <w:r>
        <w:rPr>
          <w:rFonts w:ascii="Times New Roman" w:hAnsi="Times New Roman"/>
        </w:rPr>
        <w:tab/>
        <w:t>Substance over form.</w:t>
      </w:r>
    </w:p>
    <w:p w14:paraId="07D622BC" w14:textId="29864DB5" w:rsidR="006E473A" w:rsidRDefault="006E473A" w:rsidP="00AC4F4B">
      <w:pPr>
        <w:pStyle w:val="List"/>
        <w:ind w:left="1440" w:hanging="446"/>
        <w:rPr>
          <w:rFonts w:ascii="Times New Roman" w:hAnsi="Times New Roman"/>
        </w:rPr>
      </w:pPr>
      <w:r>
        <w:rPr>
          <w:rFonts w:ascii="Times New Roman" w:hAnsi="Times New Roman"/>
        </w:rPr>
        <w:t>2.</w:t>
      </w:r>
      <w:r>
        <w:rPr>
          <w:rFonts w:ascii="Times New Roman" w:hAnsi="Times New Roman"/>
        </w:rPr>
        <w:tab/>
        <w:t>Accounting treatment is the same whether the amount is determined directly from the market value of the asset acquired (and thus the note, also) or indirectly as the present value of the note (and thus the value of the asset</w:t>
      </w:r>
      <w:r w:rsidR="000922EA">
        <w:rPr>
          <w:rFonts w:ascii="Times New Roman" w:hAnsi="Times New Roman"/>
        </w:rPr>
        <w:t>)</w:t>
      </w:r>
      <w:r>
        <w:rPr>
          <w:rFonts w:ascii="Times New Roman" w:hAnsi="Times New Roman"/>
        </w:rPr>
        <w:t>.</w:t>
      </w:r>
    </w:p>
    <w:p w14:paraId="3CFF2DB6" w14:textId="77777777" w:rsidR="006E473A" w:rsidRDefault="006E473A" w:rsidP="00AC4F4B">
      <w:pPr>
        <w:pStyle w:val="List"/>
        <w:ind w:left="1440" w:hanging="446"/>
        <w:rPr>
          <w:rFonts w:ascii="Times New Roman" w:hAnsi="Times New Roman"/>
        </w:rPr>
      </w:pPr>
      <w:r>
        <w:rPr>
          <w:rFonts w:ascii="Times New Roman" w:hAnsi="Times New Roman"/>
        </w:rPr>
        <w:t>3.</w:t>
      </w:r>
      <w:r>
        <w:rPr>
          <w:rFonts w:ascii="Times New Roman" w:hAnsi="Times New Roman"/>
        </w:rPr>
        <w:tab/>
        <w:t xml:space="preserve">Also, both parties to the transaction should record periodic interest (interest </w:t>
      </w:r>
      <w:r>
        <w:rPr>
          <w:rFonts w:ascii="Times New Roman" w:hAnsi="Times New Roman"/>
          <w:i/>
          <w:iCs/>
          <w:color w:val="0000FF"/>
        </w:rPr>
        <w:t>expense</w:t>
      </w:r>
      <w:r>
        <w:rPr>
          <w:rFonts w:ascii="Times New Roman" w:hAnsi="Times New Roman"/>
        </w:rPr>
        <w:t xml:space="preserve"> to the </w:t>
      </w:r>
      <w:r>
        <w:rPr>
          <w:rFonts w:ascii="Times New Roman" w:hAnsi="Times New Roman"/>
          <w:i/>
          <w:iCs/>
          <w:color w:val="0000FF"/>
        </w:rPr>
        <w:t>borrower</w:t>
      </w:r>
      <w:r>
        <w:rPr>
          <w:rFonts w:ascii="Times New Roman" w:hAnsi="Times New Roman"/>
        </w:rPr>
        <w:t xml:space="preserve">, interest </w:t>
      </w:r>
      <w:r>
        <w:rPr>
          <w:rFonts w:ascii="Times New Roman" w:hAnsi="Times New Roman"/>
          <w:i/>
          <w:iCs/>
          <w:color w:val="0000FF"/>
        </w:rPr>
        <w:t>revenue</w:t>
      </w:r>
      <w:r>
        <w:rPr>
          <w:rFonts w:ascii="Times New Roman" w:hAnsi="Times New Roman"/>
        </w:rPr>
        <w:t xml:space="preserve"> to the </w:t>
      </w:r>
      <w:r>
        <w:rPr>
          <w:rFonts w:ascii="Times New Roman" w:hAnsi="Times New Roman"/>
          <w:i/>
          <w:iCs/>
          <w:color w:val="0000FF"/>
        </w:rPr>
        <w:t>lender</w:t>
      </w:r>
      <w:r>
        <w:rPr>
          <w:rFonts w:ascii="Times New Roman" w:hAnsi="Times New Roman"/>
        </w:rPr>
        <w:t>) at the effective rate, rather than the stated rate.</w:t>
      </w:r>
    </w:p>
    <w:p w14:paraId="27F12EDB" w14:textId="77777777" w:rsidR="00E77929" w:rsidRDefault="00E77929" w:rsidP="00E77929">
      <w:pPr>
        <w:pStyle w:val="Comment"/>
        <w:framePr w:w="0" w:hSpace="0" w:vSpace="0" w:wrap="auto" w:hAnchor="text"/>
        <w:tabs>
          <w:tab w:val="clear" w:pos="260"/>
          <w:tab w:val="left" w:pos="450"/>
        </w:tabs>
        <w:spacing w:line="276" w:lineRule="auto"/>
        <w:rPr>
          <w:rFonts w:ascii="Times New Roman" w:hAnsi="Times New Roman"/>
          <w:b/>
          <w:bCs/>
          <w:sz w:val="24"/>
          <w:szCs w:val="24"/>
        </w:rPr>
      </w:pPr>
    </w:p>
    <w:p w14:paraId="0B1A33AF" w14:textId="15C770B4" w:rsidR="00E77929" w:rsidRDefault="00E77929" w:rsidP="00E77929">
      <w:pPr>
        <w:pStyle w:val="Comment"/>
        <w:framePr w:w="0" w:hSpace="0" w:vSpace="0" w:wrap="auto" w:hAnchor="text"/>
        <w:tabs>
          <w:tab w:val="clear" w:pos="260"/>
          <w:tab w:val="left" w:pos="450"/>
        </w:tabs>
        <w:spacing w:line="276" w:lineRule="auto"/>
        <w:rPr>
          <w:rFonts w:ascii="Times New Roman" w:hAnsi="Times New Roman"/>
          <w:b/>
          <w:bCs/>
          <w:sz w:val="24"/>
          <w:szCs w:val="24"/>
        </w:rPr>
      </w:pPr>
      <w:r>
        <w:rPr>
          <w:rFonts w:ascii="Times New Roman" w:hAnsi="Times New Roman"/>
          <w:b/>
          <w:bCs/>
          <w:sz w:val="24"/>
          <w:szCs w:val="24"/>
        </w:rPr>
        <w:t>III.</w:t>
      </w:r>
      <w:r>
        <w:rPr>
          <w:rFonts w:ascii="Times New Roman" w:hAnsi="Times New Roman"/>
          <w:b/>
          <w:bCs/>
          <w:sz w:val="24"/>
          <w:szCs w:val="24"/>
        </w:rPr>
        <w:tab/>
      </w:r>
      <w:r>
        <w:rPr>
          <w:rFonts w:ascii="Times New Roman" w:hAnsi="Times New Roman"/>
          <w:b/>
          <w:bCs/>
          <w:sz w:val="24"/>
          <w:szCs w:val="24"/>
        </w:rPr>
        <w:tab/>
        <w:t>Installment Notes</w:t>
      </w:r>
      <w:r>
        <w:rPr>
          <w:rFonts w:ascii="Times New Roman" w:hAnsi="Times New Roman"/>
          <w:sz w:val="24"/>
          <w:szCs w:val="24"/>
        </w:rPr>
        <w:t xml:space="preserve"> </w:t>
      </w:r>
    </w:p>
    <w:p w14:paraId="2489676D" w14:textId="2AF3AF99" w:rsidR="006E473A" w:rsidRDefault="00E77929" w:rsidP="00AC4F4B">
      <w:pPr>
        <w:pStyle w:val="List"/>
        <w:ind w:left="980" w:hanging="446"/>
        <w:rPr>
          <w:rFonts w:ascii="Times New Roman" w:hAnsi="Times New Roman"/>
        </w:rPr>
      </w:pPr>
      <w:r>
        <w:rPr>
          <w:rFonts w:ascii="Times New Roman" w:hAnsi="Times New Roman"/>
        </w:rPr>
        <w:t>A</w:t>
      </w:r>
      <w:r w:rsidR="006E473A">
        <w:rPr>
          <w:rFonts w:ascii="Times New Roman" w:hAnsi="Times New Roman"/>
        </w:rPr>
        <w:t>.</w:t>
      </w:r>
      <w:r w:rsidR="006E473A">
        <w:rPr>
          <w:rFonts w:ascii="Times New Roman" w:hAnsi="Times New Roman"/>
        </w:rPr>
        <w:tab/>
        <w:t>Installment notes are paid in installments, rather than by a sin</w:t>
      </w:r>
      <w:r w:rsidR="00ED787B">
        <w:rPr>
          <w:rFonts w:ascii="Times New Roman" w:hAnsi="Times New Roman"/>
        </w:rPr>
        <w:t xml:space="preserve">gle amount at maturity.  </w:t>
      </w:r>
    </w:p>
    <w:p w14:paraId="46517EF0" w14:textId="77777777" w:rsidR="006E473A" w:rsidRDefault="006E473A" w:rsidP="00AC4F4B">
      <w:pPr>
        <w:pStyle w:val="List"/>
        <w:ind w:left="1440" w:hanging="446"/>
        <w:rPr>
          <w:rFonts w:ascii="Times New Roman" w:hAnsi="Times New Roman"/>
        </w:rPr>
      </w:pPr>
      <w:r>
        <w:rPr>
          <w:rFonts w:ascii="Times New Roman" w:hAnsi="Times New Roman"/>
        </w:rPr>
        <w:t>1.</w:t>
      </w:r>
      <w:r>
        <w:rPr>
          <w:rFonts w:ascii="Times New Roman" w:hAnsi="Times New Roman"/>
        </w:rPr>
        <w:tab/>
        <w:t xml:space="preserve">Installment payments are equal amounts each period.  </w:t>
      </w:r>
    </w:p>
    <w:p w14:paraId="3F7F9BD3" w14:textId="77777777" w:rsidR="006E473A" w:rsidRDefault="006E473A" w:rsidP="00AC4F4B">
      <w:pPr>
        <w:pStyle w:val="List"/>
        <w:ind w:left="1440" w:hanging="446"/>
        <w:rPr>
          <w:rFonts w:ascii="Times New Roman" w:hAnsi="Times New Roman"/>
        </w:rPr>
      </w:pPr>
      <w:r>
        <w:rPr>
          <w:rFonts w:ascii="Times New Roman" w:hAnsi="Times New Roman"/>
        </w:rPr>
        <w:t>2.</w:t>
      </w:r>
      <w:r>
        <w:rPr>
          <w:rFonts w:ascii="Times New Roman" w:hAnsi="Times New Roman"/>
        </w:rPr>
        <w:tab/>
        <w:t xml:space="preserve">Each payment includes both an amount that represents interest and an amount that represents a reduction of principal.  </w:t>
      </w:r>
    </w:p>
    <w:p w14:paraId="1D89B0F1" w14:textId="77777777" w:rsidR="006E473A" w:rsidRDefault="006E473A" w:rsidP="00AC4F4B">
      <w:pPr>
        <w:pStyle w:val="List"/>
        <w:ind w:left="1440" w:hanging="446"/>
        <w:rPr>
          <w:rFonts w:ascii="Times New Roman" w:hAnsi="Times New Roman"/>
        </w:rPr>
      </w:pPr>
      <w:r>
        <w:rPr>
          <w:rFonts w:ascii="Times New Roman" w:hAnsi="Times New Roman"/>
        </w:rPr>
        <w:t>3.</w:t>
      </w:r>
      <w:r>
        <w:rPr>
          <w:rFonts w:ascii="Times New Roman" w:hAnsi="Times New Roman"/>
        </w:rPr>
        <w:tab/>
        <w:t xml:space="preserve">The periodic reduction of principal is sufficient that, at maturity, the note is completely paid.  </w:t>
      </w:r>
    </w:p>
    <w:p w14:paraId="4655C55F" w14:textId="61A4399A" w:rsidR="006E473A" w:rsidRDefault="006E473A" w:rsidP="00AC4F4B">
      <w:pPr>
        <w:pStyle w:val="List"/>
        <w:numPr>
          <w:ilvl w:val="0"/>
          <w:numId w:val="35"/>
        </w:numPr>
        <w:ind w:hanging="446"/>
        <w:rPr>
          <w:rFonts w:ascii="Times New Roman" w:hAnsi="Times New Roman"/>
        </w:rPr>
      </w:pPr>
      <w:r>
        <w:rPr>
          <w:rFonts w:ascii="Times New Roman" w:hAnsi="Times New Roman"/>
        </w:rPr>
        <w:t>The installment amount is easily calculated by dividing the amount of the loan by the appropriate discount factor for the present value of an annuity.</w:t>
      </w:r>
    </w:p>
    <w:p w14:paraId="6381B3B6" w14:textId="77777777" w:rsidR="006E473A" w:rsidRDefault="006E473A" w:rsidP="00ED26C5">
      <w:pPr>
        <w:pStyle w:val="List"/>
        <w:spacing w:line="276" w:lineRule="auto"/>
        <w:rPr>
          <w:rFonts w:ascii="Times New Roman" w:hAnsi="Times New Roman"/>
        </w:rPr>
      </w:pPr>
    </w:p>
    <w:p w14:paraId="01D84408" w14:textId="7442AB8C" w:rsidR="006E473A" w:rsidRDefault="006E473A" w:rsidP="00ED26C5">
      <w:pPr>
        <w:pStyle w:val="Comment"/>
        <w:framePr w:w="0" w:hSpace="0" w:vSpace="0" w:wrap="auto" w:hAnchor="text"/>
        <w:tabs>
          <w:tab w:val="clear" w:pos="260"/>
          <w:tab w:val="left" w:pos="450"/>
        </w:tabs>
        <w:spacing w:line="276" w:lineRule="auto"/>
        <w:rPr>
          <w:rFonts w:ascii="Times New Roman" w:hAnsi="Times New Roman"/>
          <w:b/>
          <w:bCs/>
          <w:sz w:val="24"/>
          <w:szCs w:val="24"/>
        </w:rPr>
      </w:pPr>
      <w:r>
        <w:rPr>
          <w:rFonts w:ascii="Times New Roman" w:hAnsi="Times New Roman"/>
          <w:b/>
          <w:bCs/>
          <w:sz w:val="24"/>
          <w:szCs w:val="24"/>
        </w:rPr>
        <w:t>I</w:t>
      </w:r>
      <w:r w:rsidR="00707B1A">
        <w:rPr>
          <w:rFonts w:ascii="Times New Roman" w:hAnsi="Times New Roman"/>
          <w:b/>
          <w:bCs/>
          <w:sz w:val="24"/>
          <w:szCs w:val="24"/>
        </w:rPr>
        <w:t>V</w:t>
      </w:r>
      <w:r>
        <w:rPr>
          <w:rFonts w:ascii="Times New Roman" w:hAnsi="Times New Roman"/>
          <w:b/>
          <w:bCs/>
          <w:sz w:val="24"/>
          <w:szCs w:val="24"/>
        </w:rPr>
        <w:t>.</w:t>
      </w:r>
      <w:r>
        <w:rPr>
          <w:rFonts w:ascii="Times New Roman" w:hAnsi="Times New Roman"/>
          <w:b/>
          <w:bCs/>
          <w:sz w:val="24"/>
          <w:szCs w:val="24"/>
        </w:rPr>
        <w:tab/>
      </w:r>
      <w:r>
        <w:rPr>
          <w:rFonts w:ascii="Times New Roman" w:hAnsi="Times New Roman"/>
          <w:b/>
          <w:bCs/>
          <w:sz w:val="24"/>
          <w:szCs w:val="24"/>
        </w:rPr>
        <w:tab/>
        <w:t>Financial Statement Disclosure</w:t>
      </w:r>
      <w:r>
        <w:rPr>
          <w:rFonts w:ascii="Times New Roman" w:hAnsi="Times New Roman"/>
          <w:sz w:val="24"/>
          <w:szCs w:val="24"/>
        </w:rPr>
        <w:t xml:space="preserve"> </w:t>
      </w:r>
    </w:p>
    <w:p w14:paraId="60B6A47F" w14:textId="77777777" w:rsidR="006E473A" w:rsidRDefault="006E473A" w:rsidP="00AC4F4B">
      <w:pPr>
        <w:pStyle w:val="List"/>
        <w:ind w:left="900" w:hanging="446"/>
        <w:rPr>
          <w:rFonts w:ascii="Times New Roman" w:hAnsi="Times New Roman"/>
        </w:rPr>
      </w:pPr>
      <w:r>
        <w:rPr>
          <w:rFonts w:ascii="Times New Roman" w:hAnsi="Times New Roman"/>
        </w:rPr>
        <w:t>A.</w:t>
      </w:r>
      <w:r>
        <w:rPr>
          <w:rFonts w:ascii="Times New Roman" w:hAnsi="Times New Roman"/>
        </w:rPr>
        <w:tab/>
        <w:t xml:space="preserve">On the balance sheet, disclosure should include, for all long-term borrowings, the aggregate amounts maturing and sinking fund requirements (if any) for each of the next five years.  </w:t>
      </w:r>
    </w:p>
    <w:p w14:paraId="59D181D1" w14:textId="77777777" w:rsidR="006E473A" w:rsidRDefault="006E473A" w:rsidP="00AC4F4B">
      <w:pPr>
        <w:pStyle w:val="List"/>
        <w:ind w:left="900" w:hanging="446"/>
        <w:rPr>
          <w:rFonts w:ascii="Times New Roman" w:hAnsi="Times New Roman"/>
        </w:rPr>
      </w:pPr>
      <w:r>
        <w:rPr>
          <w:rFonts w:ascii="Times New Roman" w:hAnsi="Times New Roman"/>
        </w:rPr>
        <w:t>B.</w:t>
      </w:r>
      <w:r>
        <w:rPr>
          <w:rFonts w:ascii="Times New Roman" w:hAnsi="Times New Roman"/>
        </w:rPr>
        <w:tab/>
        <w:t xml:space="preserve">Supplemental disclosures are needed for: </w:t>
      </w:r>
    </w:p>
    <w:p w14:paraId="556E0C10" w14:textId="77777777" w:rsidR="006E473A" w:rsidRDefault="006E473A" w:rsidP="00AC4F4B">
      <w:pPr>
        <w:pStyle w:val="List"/>
        <w:ind w:left="1260" w:hanging="446"/>
        <w:rPr>
          <w:rFonts w:ascii="Times New Roman" w:hAnsi="Times New Roman"/>
        </w:rPr>
      </w:pPr>
      <w:r>
        <w:rPr>
          <w:rFonts w:ascii="Times New Roman" w:hAnsi="Times New Roman"/>
        </w:rPr>
        <w:t>1.</w:t>
      </w:r>
      <w:r>
        <w:rPr>
          <w:rFonts w:ascii="Times New Roman" w:hAnsi="Times New Roman"/>
        </w:rPr>
        <w:tab/>
        <w:t xml:space="preserve">Off-balance-sheet credit or market risk. </w:t>
      </w:r>
    </w:p>
    <w:p w14:paraId="79D1932E" w14:textId="77777777" w:rsidR="006E473A" w:rsidRDefault="006E473A" w:rsidP="00AC4F4B">
      <w:pPr>
        <w:pStyle w:val="List"/>
        <w:ind w:left="1260" w:hanging="446"/>
        <w:rPr>
          <w:rFonts w:ascii="Times New Roman" w:hAnsi="Times New Roman"/>
        </w:rPr>
      </w:pPr>
      <w:r>
        <w:rPr>
          <w:rFonts w:ascii="Times New Roman" w:hAnsi="Times New Roman"/>
        </w:rPr>
        <w:t>2.</w:t>
      </w:r>
      <w:r>
        <w:rPr>
          <w:rFonts w:ascii="Times New Roman" w:hAnsi="Times New Roman"/>
        </w:rPr>
        <w:tab/>
        <w:t>Concentrations of credit risk.</w:t>
      </w:r>
    </w:p>
    <w:p w14:paraId="780855F3" w14:textId="77777777" w:rsidR="006E473A" w:rsidRDefault="006E473A" w:rsidP="00AC4F4B">
      <w:pPr>
        <w:pStyle w:val="List"/>
        <w:ind w:left="1260" w:hanging="446"/>
        <w:rPr>
          <w:rFonts w:ascii="Times New Roman" w:hAnsi="Times New Roman"/>
        </w:rPr>
      </w:pPr>
      <w:r>
        <w:rPr>
          <w:rFonts w:ascii="Times New Roman" w:hAnsi="Times New Roman"/>
        </w:rPr>
        <w:t>3.</w:t>
      </w:r>
      <w:r>
        <w:rPr>
          <w:rFonts w:ascii="Times New Roman" w:hAnsi="Times New Roman"/>
        </w:rPr>
        <w:tab/>
        <w:t xml:space="preserve">The fair value of financial instruments. </w:t>
      </w:r>
    </w:p>
    <w:p w14:paraId="72D6506C" w14:textId="77777777" w:rsidR="006E473A" w:rsidRDefault="006E473A" w:rsidP="00ED26C5">
      <w:pPr>
        <w:pStyle w:val="List"/>
        <w:spacing w:line="276" w:lineRule="auto"/>
        <w:ind w:left="1000" w:firstLine="0"/>
        <w:rPr>
          <w:rFonts w:ascii="Times New Roman" w:hAnsi="Times New Roman"/>
        </w:rPr>
      </w:pPr>
    </w:p>
    <w:p w14:paraId="22D836E6" w14:textId="77777777" w:rsidR="006E473A" w:rsidRDefault="006E473A" w:rsidP="00ED26C5">
      <w:pPr>
        <w:pStyle w:val="List"/>
        <w:spacing w:line="276" w:lineRule="auto"/>
        <w:rPr>
          <w:rFonts w:ascii="Times New Roman" w:hAnsi="Times New Roman"/>
          <w:b/>
          <w:bCs/>
          <w:color w:val="0000FF"/>
        </w:rPr>
      </w:pPr>
      <w:r>
        <w:rPr>
          <w:rFonts w:ascii="Times New Roman" w:hAnsi="Times New Roman"/>
          <w:b/>
          <w:bCs/>
          <w:color w:val="0000FF"/>
        </w:rPr>
        <w:t>Decision-Makers’ Perspective</w:t>
      </w:r>
      <w:r w:rsidR="00ED787B">
        <w:rPr>
          <w:rFonts w:ascii="Times New Roman" w:hAnsi="Times New Roman"/>
        </w:rPr>
        <w:t xml:space="preserve"> </w:t>
      </w:r>
    </w:p>
    <w:p w14:paraId="5BBECC2D" w14:textId="77777777" w:rsidR="006E473A" w:rsidRDefault="006E473A" w:rsidP="00AC4F4B">
      <w:pPr>
        <w:pStyle w:val="List"/>
        <w:ind w:left="900" w:hanging="446"/>
        <w:rPr>
          <w:rFonts w:ascii="Times New Roman" w:hAnsi="Times New Roman"/>
        </w:rPr>
      </w:pPr>
      <w:r>
        <w:rPr>
          <w:rFonts w:ascii="Times New Roman" w:hAnsi="Times New Roman"/>
        </w:rPr>
        <w:t>A.</w:t>
      </w:r>
      <w:r>
        <w:rPr>
          <w:rFonts w:ascii="Times New Roman" w:hAnsi="Times New Roman"/>
        </w:rPr>
        <w:tab/>
        <w:t xml:space="preserve">Failure to properly consider risk in business decisions is one of the most costly, yet one of the most common, mistakes investors and creditors can make.  </w:t>
      </w:r>
    </w:p>
    <w:p w14:paraId="41ABC426" w14:textId="77777777" w:rsidR="006E473A" w:rsidRDefault="006E473A" w:rsidP="00AC4F4B">
      <w:pPr>
        <w:pStyle w:val="List"/>
        <w:ind w:left="900" w:hanging="446"/>
        <w:rPr>
          <w:rFonts w:ascii="Times New Roman" w:hAnsi="Times New Roman"/>
        </w:rPr>
      </w:pPr>
      <w:r>
        <w:rPr>
          <w:rFonts w:ascii="Times New Roman" w:hAnsi="Times New Roman"/>
        </w:rPr>
        <w:t>B.</w:t>
      </w:r>
      <w:r>
        <w:rPr>
          <w:rFonts w:ascii="Times New Roman" w:hAnsi="Times New Roman"/>
        </w:rPr>
        <w:tab/>
        <w:t xml:space="preserve">Long-term debt is one of the first places decision makers should look when trying to get a handle on risk.  </w:t>
      </w:r>
    </w:p>
    <w:p w14:paraId="7590AB8F" w14:textId="77777777" w:rsidR="006E473A" w:rsidRDefault="006E473A" w:rsidP="00AC4F4B">
      <w:pPr>
        <w:pStyle w:val="List"/>
        <w:ind w:left="900" w:hanging="446"/>
        <w:rPr>
          <w:rFonts w:ascii="Times New Roman" w:hAnsi="Times New Roman"/>
        </w:rPr>
      </w:pPr>
      <w:r>
        <w:rPr>
          <w:rFonts w:ascii="Times New Roman" w:hAnsi="Times New Roman"/>
        </w:rPr>
        <w:t>C.</w:t>
      </w:r>
      <w:r>
        <w:rPr>
          <w:rFonts w:ascii="Times New Roman" w:hAnsi="Times New Roman"/>
        </w:rPr>
        <w:tab/>
        <w:t xml:space="preserve">Generally speaking, debt increases risk.  </w:t>
      </w:r>
    </w:p>
    <w:p w14:paraId="4A129146" w14:textId="77777777" w:rsidR="006E473A" w:rsidRDefault="006E473A" w:rsidP="00AC4F4B">
      <w:pPr>
        <w:pStyle w:val="List"/>
        <w:ind w:left="1260" w:hanging="446"/>
        <w:rPr>
          <w:rFonts w:ascii="Times New Roman" w:hAnsi="Times New Roman"/>
        </w:rPr>
      </w:pPr>
      <w:r>
        <w:rPr>
          <w:rFonts w:ascii="Times New Roman" w:hAnsi="Times New Roman"/>
        </w:rPr>
        <w:t>1.</w:t>
      </w:r>
      <w:r>
        <w:rPr>
          <w:rFonts w:ascii="Times New Roman" w:hAnsi="Times New Roman"/>
        </w:rPr>
        <w:tab/>
        <w:t xml:space="preserve">The debt to equity ratio, total liabilities/shareholders’ equity, often is calculated to measure the degree of risk.  </w:t>
      </w:r>
    </w:p>
    <w:p w14:paraId="455BFBE0" w14:textId="77777777" w:rsidR="006E473A" w:rsidRDefault="006E473A" w:rsidP="00AC4F4B">
      <w:pPr>
        <w:pStyle w:val="List"/>
        <w:ind w:left="1260" w:hanging="446"/>
        <w:rPr>
          <w:rFonts w:ascii="Times New Roman" w:hAnsi="Times New Roman"/>
        </w:rPr>
      </w:pPr>
      <w:r>
        <w:rPr>
          <w:rFonts w:ascii="Times New Roman" w:hAnsi="Times New Roman"/>
        </w:rPr>
        <w:t>2.</w:t>
      </w:r>
      <w:r>
        <w:rPr>
          <w:rFonts w:ascii="Times New Roman" w:hAnsi="Times New Roman"/>
        </w:rPr>
        <w:tab/>
        <w:t xml:space="preserve">Other things being equal, the higher the debt to equity ratio, the higher the risk.  </w:t>
      </w:r>
    </w:p>
    <w:p w14:paraId="74DAAB38" w14:textId="77777777" w:rsidR="006E473A" w:rsidRDefault="006E473A" w:rsidP="00AC4F4B">
      <w:pPr>
        <w:pStyle w:val="List"/>
        <w:ind w:left="900" w:hanging="446"/>
        <w:rPr>
          <w:rFonts w:ascii="Times New Roman" w:hAnsi="Times New Roman"/>
        </w:rPr>
      </w:pPr>
      <w:r>
        <w:rPr>
          <w:rFonts w:ascii="Times New Roman" w:hAnsi="Times New Roman"/>
        </w:rPr>
        <w:t>D.</w:t>
      </w:r>
      <w:r>
        <w:rPr>
          <w:rFonts w:ascii="Times New Roman" w:hAnsi="Times New Roman"/>
        </w:rPr>
        <w:tab/>
        <w:t xml:space="preserve">Debt also can be an advantage by enhancing the return to shareholders.  </w:t>
      </w:r>
    </w:p>
    <w:p w14:paraId="03E7844D" w14:textId="77777777" w:rsidR="006E473A" w:rsidRDefault="006E473A" w:rsidP="00AC4F4B">
      <w:pPr>
        <w:pStyle w:val="List"/>
        <w:ind w:left="1260" w:hanging="446"/>
        <w:rPr>
          <w:rFonts w:ascii="Times New Roman" w:hAnsi="Times New Roman"/>
        </w:rPr>
      </w:pPr>
      <w:r>
        <w:rPr>
          <w:rFonts w:ascii="Times New Roman" w:hAnsi="Times New Roman"/>
        </w:rPr>
        <w:t>1.</w:t>
      </w:r>
      <w:r>
        <w:rPr>
          <w:rFonts w:ascii="Times New Roman" w:hAnsi="Times New Roman"/>
        </w:rPr>
        <w:tab/>
        <w:t>This concept is known as leverage.</w:t>
      </w:r>
    </w:p>
    <w:p w14:paraId="63CB2250" w14:textId="77777777" w:rsidR="006E473A" w:rsidRDefault="006E473A" w:rsidP="00AC4F4B">
      <w:pPr>
        <w:pStyle w:val="List"/>
        <w:ind w:left="1260" w:hanging="446"/>
        <w:rPr>
          <w:rFonts w:ascii="Times New Roman" w:hAnsi="Times New Roman"/>
        </w:rPr>
      </w:pPr>
      <w:r>
        <w:rPr>
          <w:rFonts w:ascii="Times New Roman" w:hAnsi="Times New Roman"/>
        </w:rPr>
        <w:t>2.</w:t>
      </w:r>
      <w:r>
        <w:rPr>
          <w:rFonts w:ascii="Times New Roman" w:hAnsi="Times New Roman"/>
        </w:rPr>
        <w:tab/>
        <w:t xml:space="preserve">“Favorable financial leverage” occurs when a company earns a return on borrowed funds in excess of the cost of borrowing the funds, shareholders are provided with a total return greater than what could have been earned with equity funds alone.  </w:t>
      </w:r>
    </w:p>
    <w:p w14:paraId="02F03494" w14:textId="77777777" w:rsidR="006E473A" w:rsidRDefault="006E473A" w:rsidP="00AC4F4B">
      <w:pPr>
        <w:pStyle w:val="List"/>
        <w:ind w:left="900" w:hanging="446"/>
        <w:rPr>
          <w:rFonts w:ascii="Times New Roman" w:hAnsi="Times New Roman"/>
        </w:rPr>
      </w:pPr>
      <w:r>
        <w:rPr>
          <w:rFonts w:ascii="Times New Roman" w:hAnsi="Times New Roman"/>
        </w:rPr>
        <w:t>E.</w:t>
      </w:r>
      <w:r>
        <w:rPr>
          <w:rFonts w:ascii="Times New Roman" w:hAnsi="Times New Roman"/>
        </w:rPr>
        <w:tab/>
        <w:t xml:space="preserve">Failure to pay interest as scheduled may cause several adverse consequences including bankruptcy.  </w:t>
      </w:r>
    </w:p>
    <w:p w14:paraId="541DB940" w14:textId="77777777" w:rsidR="006E473A" w:rsidRDefault="006E473A" w:rsidP="00AC4F4B">
      <w:pPr>
        <w:pStyle w:val="List"/>
        <w:ind w:left="1260" w:hanging="446"/>
        <w:rPr>
          <w:rFonts w:ascii="Times New Roman" w:hAnsi="Times New Roman"/>
        </w:rPr>
      </w:pPr>
      <w:r>
        <w:rPr>
          <w:rFonts w:ascii="Times New Roman" w:hAnsi="Times New Roman"/>
        </w:rPr>
        <w:lastRenderedPageBreak/>
        <w:t>1.</w:t>
      </w:r>
      <w:r>
        <w:rPr>
          <w:rFonts w:ascii="Times New Roman" w:hAnsi="Times New Roman"/>
        </w:rPr>
        <w:tab/>
        <w:t xml:space="preserve">One way to measure a company's ability to pay its obligations is by comparing interest payments with income available to pay those charges.  </w:t>
      </w:r>
    </w:p>
    <w:p w14:paraId="1358C1E5" w14:textId="77777777" w:rsidR="006E473A" w:rsidRDefault="006E473A" w:rsidP="00AC4F4B">
      <w:pPr>
        <w:pStyle w:val="List"/>
        <w:ind w:left="1260" w:hanging="446"/>
        <w:rPr>
          <w:rFonts w:ascii="Times New Roman" w:hAnsi="Times New Roman"/>
        </w:rPr>
      </w:pPr>
      <w:r>
        <w:rPr>
          <w:rFonts w:ascii="Times New Roman" w:hAnsi="Times New Roman"/>
        </w:rPr>
        <w:t>2.</w:t>
      </w:r>
      <w:r>
        <w:rPr>
          <w:rFonts w:ascii="Times New Roman" w:hAnsi="Times New Roman"/>
        </w:rPr>
        <w:tab/>
        <w:t>The times interest earned ratio is determined by dividing income before subtracting interest expense or income tax expense by interest expense.</w:t>
      </w:r>
    </w:p>
    <w:p w14:paraId="4F13190D" w14:textId="03E16891" w:rsidR="006E473A" w:rsidRDefault="006E473A" w:rsidP="00AC4F4B">
      <w:pPr>
        <w:pStyle w:val="List"/>
        <w:numPr>
          <w:ilvl w:val="0"/>
          <w:numId w:val="39"/>
        </w:numPr>
        <w:ind w:left="900" w:hanging="450"/>
        <w:rPr>
          <w:rFonts w:ascii="Times New Roman" w:hAnsi="Times New Roman"/>
        </w:rPr>
      </w:pPr>
      <w:r>
        <w:rPr>
          <w:rFonts w:ascii="Times New Roman" w:hAnsi="Times New Roman"/>
        </w:rPr>
        <w:t xml:space="preserve">“Off-balance-sheet” financing and other commitments can increase risk. </w:t>
      </w:r>
    </w:p>
    <w:p w14:paraId="2AB4DDAB" w14:textId="77777777" w:rsidR="006E473A" w:rsidRDefault="006E473A" w:rsidP="00AC4F4B">
      <w:pPr>
        <w:pStyle w:val="Text"/>
        <w:spacing w:before="240"/>
        <w:ind w:left="1080" w:hanging="1080"/>
        <w:rPr>
          <w:rFonts w:ascii="Times New Roman" w:hAnsi="Times New Roman"/>
          <w:b/>
          <w:bCs/>
          <w:color w:val="0000FF"/>
          <w:sz w:val="36"/>
          <w:szCs w:val="36"/>
        </w:rPr>
      </w:pPr>
      <w:r>
        <w:rPr>
          <w:rFonts w:ascii="Times New Roman" w:hAnsi="Times New Roman"/>
          <w:b/>
          <w:bCs/>
          <w:color w:val="0000FF"/>
          <w:sz w:val="28"/>
          <w:szCs w:val="28"/>
        </w:rPr>
        <w:t>Part C: Debt Retired Early, Convertible into Stock, or Providing an Option to Buy Stock</w:t>
      </w:r>
    </w:p>
    <w:p w14:paraId="77A8A9B5" w14:textId="77777777" w:rsidR="006E473A" w:rsidRDefault="006E473A" w:rsidP="005728DF">
      <w:pPr>
        <w:pStyle w:val="List"/>
        <w:spacing w:before="240" w:line="276" w:lineRule="auto"/>
        <w:ind w:left="540" w:hanging="540"/>
        <w:rPr>
          <w:rFonts w:ascii="Times New Roman" w:hAnsi="Times New Roman"/>
          <w:b/>
          <w:bCs/>
          <w:color w:val="0000FF"/>
        </w:rPr>
      </w:pPr>
      <w:r>
        <w:rPr>
          <w:rFonts w:ascii="Times New Roman" w:hAnsi="Times New Roman"/>
          <w:b/>
          <w:bCs/>
          <w:color w:val="0000FF"/>
        </w:rPr>
        <w:t>I.</w:t>
      </w:r>
      <w:r>
        <w:rPr>
          <w:rFonts w:ascii="Times New Roman" w:hAnsi="Times New Roman"/>
          <w:b/>
          <w:bCs/>
          <w:color w:val="0000FF"/>
        </w:rPr>
        <w:tab/>
        <w:t xml:space="preserve">Early Extinguishment of Debt </w:t>
      </w:r>
    </w:p>
    <w:p w14:paraId="1C8374A0" w14:textId="77777777" w:rsidR="006E473A" w:rsidRDefault="006E473A" w:rsidP="00AC4F4B">
      <w:pPr>
        <w:pStyle w:val="List"/>
        <w:ind w:left="980" w:hanging="446"/>
        <w:rPr>
          <w:rFonts w:ascii="Times New Roman" w:hAnsi="Times New Roman"/>
        </w:rPr>
      </w:pPr>
      <w:r>
        <w:rPr>
          <w:rFonts w:ascii="Times New Roman" w:hAnsi="Times New Roman"/>
        </w:rPr>
        <w:t>A.</w:t>
      </w:r>
      <w:r>
        <w:rPr>
          <w:rFonts w:ascii="Times New Roman" w:hAnsi="Times New Roman"/>
        </w:rPr>
        <w:tab/>
        <w:t xml:space="preserve">A gain or loss on early extinguishment of debt should be recorded for the difference between the </w:t>
      </w:r>
      <w:r>
        <w:rPr>
          <w:rFonts w:ascii="Times New Roman" w:hAnsi="Times New Roman"/>
          <w:i/>
          <w:iCs/>
        </w:rPr>
        <w:t>reacquisition price</w:t>
      </w:r>
      <w:r>
        <w:rPr>
          <w:rFonts w:ascii="Times New Roman" w:hAnsi="Times New Roman"/>
        </w:rPr>
        <w:t xml:space="preserve"> and the </w:t>
      </w:r>
      <w:r w:rsidR="00E30712">
        <w:rPr>
          <w:rFonts w:ascii="Times New Roman" w:hAnsi="Times New Roman"/>
          <w:i/>
          <w:iCs/>
        </w:rPr>
        <w:t>book value</w:t>
      </w:r>
      <w:r>
        <w:rPr>
          <w:rFonts w:ascii="Times New Roman" w:hAnsi="Times New Roman"/>
        </w:rPr>
        <w:t xml:space="preserve"> of the debt.  </w:t>
      </w:r>
    </w:p>
    <w:p w14:paraId="7A1DD8F1" w14:textId="77777777" w:rsidR="006E473A" w:rsidRDefault="006E473A" w:rsidP="00AC4F4B">
      <w:pPr>
        <w:pStyle w:val="List"/>
        <w:numPr>
          <w:ilvl w:val="0"/>
          <w:numId w:val="34"/>
        </w:numPr>
        <w:ind w:hanging="446"/>
        <w:rPr>
          <w:rFonts w:ascii="Times New Roman" w:hAnsi="Times New Roman"/>
        </w:rPr>
      </w:pPr>
      <w:r>
        <w:rPr>
          <w:rFonts w:ascii="Times New Roman" w:hAnsi="Times New Roman"/>
        </w:rPr>
        <w:t xml:space="preserve">The gain or loss should be classified on the income statement as an </w:t>
      </w:r>
      <w:r>
        <w:rPr>
          <w:rFonts w:ascii="Times New Roman" w:hAnsi="Times New Roman"/>
          <w:i/>
          <w:iCs/>
          <w:color w:val="0000FF"/>
        </w:rPr>
        <w:t>extraordinary item</w:t>
      </w:r>
      <w:r w:rsidR="007D470B">
        <w:rPr>
          <w:rFonts w:ascii="Times New Roman" w:hAnsi="Times New Roman"/>
        </w:rPr>
        <w:t xml:space="preserve"> o</w:t>
      </w:r>
      <w:r w:rsidR="000B0EC8">
        <w:rPr>
          <w:rFonts w:ascii="Times New Roman" w:hAnsi="Times New Roman"/>
        </w:rPr>
        <w:t>nly if it meets criteria for such reporting by being both (1) unusual and (2) infrequent.</w:t>
      </w:r>
    </w:p>
    <w:p w14:paraId="661885F1" w14:textId="3CBC1B90" w:rsidR="006E473A" w:rsidRDefault="006E473A" w:rsidP="00AC4F4B">
      <w:pPr>
        <w:pStyle w:val="List"/>
        <w:spacing w:before="240" w:line="276" w:lineRule="auto"/>
        <w:ind w:left="540" w:hanging="540"/>
        <w:rPr>
          <w:rFonts w:ascii="Times New Roman" w:hAnsi="Times New Roman"/>
          <w:b/>
          <w:bCs/>
          <w:color w:val="0000FF"/>
        </w:rPr>
      </w:pPr>
      <w:r>
        <w:rPr>
          <w:rFonts w:ascii="Times New Roman" w:hAnsi="Times New Roman"/>
          <w:b/>
          <w:bCs/>
          <w:color w:val="0000FF"/>
        </w:rPr>
        <w:t>II.</w:t>
      </w:r>
      <w:r>
        <w:rPr>
          <w:rFonts w:ascii="Times New Roman" w:hAnsi="Times New Roman"/>
          <w:b/>
          <w:bCs/>
          <w:color w:val="0000FF"/>
        </w:rPr>
        <w:tab/>
        <w:t xml:space="preserve">Convertible </w:t>
      </w:r>
      <w:r w:rsidR="0089355C">
        <w:rPr>
          <w:rFonts w:ascii="Times New Roman" w:hAnsi="Times New Roman"/>
          <w:b/>
          <w:bCs/>
          <w:color w:val="0000FF"/>
        </w:rPr>
        <w:t>Bonds</w:t>
      </w:r>
    </w:p>
    <w:p w14:paraId="55D75A12" w14:textId="77777777" w:rsidR="003F347B" w:rsidRDefault="006E473A" w:rsidP="00AC4F4B">
      <w:pPr>
        <w:pStyle w:val="List"/>
        <w:numPr>
          <w:ilvl w:val="0"/>
          <w:numId w:val="38"/>
        </w:numPr>
        <w:ind w:hanging="446"/>
        <w:rPr>
          <w:rFonts w:ascii="Times New Roman" w:hAnsi="Times New Roman"/>
        </w:rPr>
      </w:pPr>
      <w:r>
        <w:rPr>
          <w:rFonts w:ascii="Times New Roman" w:hAnsi="Times New Roman"/>
        </w:rPr>
        <w:t>Convertible bonds are accounted for as straight debt.</w:t>
      </w:r>
      <w:r w:rsidR="003F347B">
        <w:rPr>
          <w:rFonts w:ascii="Times New Roman" w:hAnsi="Times New Roman"/>
        </w:rPr>
        <w:t xml:space="preserve">  </w:t>
      </w:r>
    </w:p>
    <w:p w14:paraId="41A7577B" w14:textId="177A26FA" w:rsidR="006E473A" w:rsidRDefault="003F347B" w:rsidP="00AC4F4B">
      <w:pPr>
        <w:pStyle w:val="List"/>
        <w:numPr>
          <w:ilvl w:val="0"/>
          <w:numId w:val="38"/>
        </w:numPr>
        <w:ind w:hanging="446"/>
        <w:rPr>
          <w:rFonts w:ascii="Times New Roman" w:hAnsi="Times New Roman"/>
        </w:rPr>
      </w:pPr>
      <w:r>
        <w:rPr>
          <w:rFonts w:ascii="Times New Roman" w:hAnsi="Times New Roman"/>
        </w:rPr>
        <w:t>Stock or other</w:t>
      </w:r>
      <w:r w:rsidRPr="00B524A2">
        <w:rPr>
          <w:rFonts w:ascii="Times New Roman" w:hAnsi="Times New Roman"/>
        </w:rPr>
        <w:t xml:space="preserve"> financial instrument</w:t>
      </w:r>
      <w:r>
        <w:rPr>
          <w:rFonts w:ascii="Times New Roman" w:hAnsi="Times New Roman"/>
        </w:rPr>
        <w:t>s that a company is obligated to buy back (mand</w:t>
      </w:r>
      <w:r w:rsidR="005B3F4C">
        <w:rPr>
          <w:rFonts w:ascii="Times New Roman" w:hAnsi="Times New Roman"/>
        </w:rPr>
        <w:t>a</w:t>
      </w:r>
      <w:r>
        <w:rPr>
          <w:rFonts w:ascii="Times New Roman" w:hAnsi="Times New Roman"/>
        </w:rPr>
        <w:t>torily redeemable),</w:t>
      </w:r>
      <w:r w:rsidRPr="00B524A2">
        <w:rPr>
          <w:rFonts w:ascii="Times New Roman" w:hAnsi="Times New Roman"/>
        </w:rPr>
        <w:t xml:space="preserve"> must be reported in the balance sheet as a liability, not as shareholders’ equity</w:t>
      </w:r>
      <w:r>
        <w:rPr>
          <w:rFonts w:ascii="Times New Roman" w:hAnsi="Times New Roman"/>
        </w:rPr>
        <w:t>.</w:t>
      </w:r>
    </w:p>
    <w:p w14:paraId="29B72F8B" w14:textId="10310CB2" w:rsidR="00397E72" w:rsidRDefault="00397E72" w:rsidP="00AC4F4B">
      <w:pPr>
        <w:pStyle w:val="List"/>
        <w:ind w:left="990" w:hanging="450"/>
        <w:rPr>
          <w:rFonts w:ascii="Times New Roman" w:hAnsi="Times New Roman"/>
        </w:rPr>
      </w:pPr>
      <w:r>
        <w:rPr>
          <w:rFonts w:ascii="Times New Roman" w:hAnsi="Times New Roman"/>
        </w:rPr>
        <w:t>C.</w:t>
      </w:r>
      <w:r>
        <w:rPr>
          <w:rFonts w:ascii="Times New Roman" w:hAnsi="Times New Roman"/>
        </w:rPr>
        <w:tab/>
      </w:r>
      <w:r w:rsidRPr="003A3D49">
        <w:rPr>
          <w:rFonts w:ascii="Times New Roman" w:hAnsi="Times New Roman"/>
        </w:rPr>
        <w:t xml:space="preserve">Under IFRS, convertible debt is divided into its </w:t>
      </w:r>
      <w:r w:rsidR="001019BA">
        <w:rPr>
          <w:rFonts w:ascii="Times New Roman" w:hAnsi="Times New Roman"/>
        </w:rPr>
        <w:t xml:space="preserve">liability and equity elements. </w:t>
      </w:r>
      <w:r w:rsidRPr="003A3D49">
        <w:rPr>
          <w:rFonts w:ascii="Times New Roman" w:hAnsi="Times New Roman"/>
        </w:rPr>
        <w:t>Under U</w:t>
      </w:r>
      <w:r w:rsidR="00E647C2">
        <w:rPr>
          <w:rFonts w:ascii="Times New Roman" w:hAnsi="Times New Roman"/>
        </w:rPr>
        <w:t>.</w:t>
      </w:r>
      <w:r w:rsidRPr="003A3D49">
        <w:rPr>
          <w:rFonts w:ascii="Times New Roman" w:hAnsi="Times New Roman"/>
        </w:rPr>
        <w:t>S</w:t>
      </w:r>
      <w:r w:rsidR="00E647C2">
        <w:rPr>
          <w:rFonts w:ascii="Times New Roman" w:hAnsi="Times New Roman"/>
        </w:rPr>
        <w:t>.</w:t>
      </w:r>
      <w:r w:rsidRPr="003A3D49">
        <w:rPr>
          <w:rFonts w:ascii="Times New Roman" w:hAnsi="Times New Roman"/>
        </w:rPr>
        <w:t xml:space="preserve"> GAAP, the entire issue price is recorded as debt</w:t>
      </w:r>
      <w:r>
        <w:rPr>
          <w:rFonts w:ascii="Times New Roman" w:hAnsi="Times New Roman"/>
        </w:rPr>
        <w:t xml:space="preserve">. </w:t>
      </w:r>
    </w:p>
    <w:p w14:paraId="4BD3D596" w14:textId="77777777" w:rsidR="006E473A" w:rsidRDefault="006E473A" w:rsidP="00AC4F4B">
      <w:pPr>
        <w:pStyle w:val="List"/>
        <w:spacing w:before="240" w:line="276" w:lineRule="auto"/>
        <w:ind w:left="540" w:hanging="540"/>
        <w:rPr>
          <w:rFonts w:ascii="Times New Roman" w:hAnsi="Times New Roman"/>
          <w:b/>
          <w:bCs/>
          <w:color w:val="0000FF"/>
        </w:rPr>
      </w:pPr>
      <w:r>
        <w:rPr>
          <w:rFonts w:ascii="Times New Roman" w:hAnsi="Times New Roman"/>
          <w:b/>
          <w:bCs/>
          <w:color w:val="0000FF"/>
        </w:rPr>
        <w:t>III.</w:t>
      </w:r>
      <w:r>
        <w:rPr>
          <w:rFonts w:ascii="Times New Roman" w:hAnsi="Times New Roman"/>
          <w:b/>
          <w:bCs/>
          <w:color w:val="0000FF"/>
        </w:rPr>
        <w:tab/>
        <w:t xml:space="preserve">Bonds </w:t>
      </w:r>
      <w:r w:rsidR="0081362A">
        <w:rPr>
          <w:rFonts w:ascii="Times New Roman" w:hAnsi="Times New Roman"/>
          <w:b/>
          <w:bCs/>
          <w:color w:val="0000FF"/>
        </w:rPr>
        <w:t>with</w:t>
      </w:r>
      <w:r>
        <w:rPr>
          <w:rFonts w:ascii="Times New Roman" w:hAnsi="Times New Roman"/>
          <w:b/>
          <w:bCs/>
          <w:color w:val="0000FF"/>
        </w:rPr>
        <w:t xml:space="preserve"> Detachable Warrants </w:t>
      </w:r>
    </w:p>
    <w:p w14:paraId="0DFD2F6D" w14:textId="4435F91F" w:rsidR="006E473A" w:rsidRDefault="005B3F4C" w:rsidP="00AC4F4B">
      <w:pPr>
        <w:pStyle w:val="List"/>
        <w:ind w:left="990" w:hanging="450"/>
        <w:rPr>
          <w:rFonts w:ascii="Times New Roman" w:hAnsi="Times New Roman"/>
        </w:rPr>
      </w:pPr>
      <w:r>
        <w:rPr>
          <w:rFonts w:ascii="Times New Roman" w:hAnsi="Times New Roman"/>
        </w:rPr>
        <w:t>A.</w:t>
      </w:r>
      <w:r>
        <w:rPr>
          <w:rFonts w:ascii="Times New Roman" w:hAnsi="Times New Roman"/>
        </w:rPr>
        <w:tab/>
      </w:r>
      <w:r w:rsidR="006E473A">
        <w:rPr>
          <w:rFonts w:ascii="Times New Roman" w:hAnsi="Times New Roman"/>
        </w:rPr>
        <w:t xml:space="preserve">The value of the equity feature is recorded separately for bonds issued with detachable warrants. </w:t>
      </w:r>
    </w:p>
    <w:p w14:paraId="45111781" w14:textId="65A2EBDB" w:rsidR="00ED787B" w:rsidRDefault="00ED787B" w:rsidP="0081283E">
      <w:pPr>
        <w:pStyle w:val="Text"/>
        <w:spacing w:before="240" w:line="276" w:lineRule="auto"/>
        <w:ind w:firstLine="0"/>
        <w:rPr>
          <w:rFonts w:ascii="Times New Roman" w:hAnsi="Times New Roman"/>
          <w:b/>
          <w:bCs/>
          <w:color w:val="0000FF"/>
          <w:sz w:val="36"/>
          <w:szCs w:val="36"/>
        </w:rPr>
      </w:pPr>
      <w:r>
        <w:rPr>
          <w:rFonts w:ascii="Times New Roman" w:hAnsi="Times New Roman"/>
          <w:b/>
          <w:bCs/>
          <w:color w:val="0000FF"/>
          <w:sz w:val="28"/>
          <w:szCs w:val="28"/>
        </w:rPr>
        <w:t xml:space="preserve">Part D: </w:t>
      </w:r>
      <w:r w:rsidR="00CF63DB">
        <w:rPr>
          <w:rFonts w:ascii="Times New Roman" w:hAnsi="Times New Roman"/>
          <w:b/>
          <w:bCs/>
          <w:color w:val="0000FF"/>
          <w:sz w:val="28"/>
          <w:szCs w:val="28"/>
        </w:rPr>
        <w:t>Option to Report Liabilit</w:t>
      </w:r>
      <w:r w:rsidR="00A065D0">
        <w:rPr>
          <w:rFonts w:ascii="Times New Roman" w:hAnsi="Times New Roman"/>
          <w:b/>
          <w:bCs/>
          <w:color w:val="0000FF"/>
          <w:sz w:val="28"/>
          <w:szCs w:val="28"/>
        </w:rPr>
        <w:t>i</w:t>
      </w:r>
      <w:r w:rsidR="00CF63DB">
        <w:rPr>
          <w:rFonts w:ascii="Times New Roman" w:hAnsi="Times New Roman"/>
          <w:b/>
          <w:bCs/>
          <w:color w:val="0000FF"/>
          <w:sz w:val="28"/>
          <w:szCs w:val="28"/>
        </w:rPr>
        <w:t xml:space="preserve">es at </w:t>
      </w:r>
      <w:r>
        <w:rPr>
          <w:rFonts w:ascii="Times New Roman" w:hAnsi="Times New Roman"/>
          <w:b/>
          <w:bCs/>
          <w:color w:val="0000FF"/>
          <w:sz w:val="28"/>
          <w:szCs w:val="28"/>
        </w:rPr>
        <w:t>Fair Value</w:t>
      </w:r>
    </w:p>
    <w:p w14:paraId="3BBF7E77" w14:textId="363F2958" w:rsidR="00ED787B" w:rsidRPr="00AC4F4B" w:rsidRDefault="009459D1" w:rsidP="00AC4F4B">
      <w:pPr>
        <w:pStyle w:val="List"/>
        <w:ind w:left="990" w:hanging="450"/>
        <w:rPr>
          <w:rFonts w:ascii="Times New Roman" w:hAnsi="Times New Roman"/>
        </w:rPr>
      </w:pPr>
      <w:r w:rsidRPr="00AC4F4B">
        <w:rPr>
          <w:rFonts w:ascii="Times New Roman" w:hAnsi="Times New Roman"/>
          <w:bCs/>
        </w:rPr>
        <w:t>A</w:t>
      </w:r>
      <w:r w:rsidR="00ED787B" w:rsidRPr="00AC4F4B">
        <w:rPr>
          <w:rFonts w:ascii="Times New Roman" w:hAnsi="Times New Roman"/>
          <w:bCs/>
        </w:rPr>
        <w:t>.</w:t>
      </w:r>
      <w:r w:rsidR="00ED787B" w:rsidRPr="00AC4F4B">
        <w:rPr>
          <w:rFonts w:ascii="Times New Roman" w:hAnsi="Times New Roman"/>
        </w:rPr>
        <w:tab/>
        <w:t xml:space="preserve">A company is not required to, but has the option to, value some or all of its financial assets and liabilities, including bonds and notes, at fair value. </w:t>
      </w:r>
    </w:p>
    <w:p w14:paraId="4BEB839A" w14:textId="51B78356" w:rsidR="00ED787B" w:rsidRDefault="009459D1" w:rsidP="00AC4F4B">
      <w:pPr>
        <w:pStyle w:val="List"/>
        <w:ind w:left="990" w:hanging="450"/>
      </w:pPr>
      <w:r w:rsidRPr="00AC4F4B">
        <w:rPr>
          <w:rFonts w:ascii="Times New Roman" w:hAnsi="Times New Roman"/>
          <w:bCs/>
        </w:rPr>
        <w:t>B</w:t>
      </w:r>
      <w:r w:rsidR="00ED787B" w:rsidRPr="00AC4F4B">
        <w:rPr>
          <w:rFonts w:ascii="Times New Roman" w:hAnsi="Times New Roman"/>
          <w:bCs/>
        </w:rPr>
        <w:t>.</w:t>
      </w:r>
      <w:r w:rsidR="00ED787B" w:rsidRPr="00AC4F4B">
        <w:rPr>
          <w:rFonts w:ascii="Times New Roman" w:hAnsi="Times New Roman"/>
        </w:rPr>
        <w:tab/>
        <w:t xml:space="preserve">If a company chooses the option to report at fair value, then it reports changes in fair value </w:t>
      </w:r>
      <w:r w:rsidR="0028699A" w:rsidRPr="00AC4F4B">
        <w:rPr>
          <w:rFonts w:ascii="Times New Roman" w:hAnsi="Times New Roman"/>
        </w:rPr>
        <w:t xml:space="preserve">as OCI (net of tax) </w:t>
      </w:r>
      <w:r w:rsidR="00ED787B" w:rsidRPr="00AC4F4B">
        <w:rPr>
          <w:rFonts w:ascii="Times New Roman" w:hAnsi="Times New Roman"/>
        </w:rPr>
        <w:t>in its statement</w:t>
      </w:r>
      <w:r w:rsidR="0028699A" w:rsidRPr="00AC4F4B">
        <w:rPr>
          <w:rFonts w:ascii="Times New Roman" w:hAnsi="Times New Roman"/>
        </w:rPr>
        <w:t xml:space="preserve"> of other comprehensive income</w:t>
      </w:r>
      <w:r w:rsidR="00ED787B" w:rsidRPr="00AC4F4B">
        <w:rPr>
          <w:rFonts w:ascii="Times New Roman" w:hAnsi="Times New Roman"/>
        </w:rPr>
        <w:t>.</w:t>
      </w:r>
      <w:r w:rsidR="00ED787B">
        <w:t xml:space="preserve">  </w:t>
      </w:r>
    </w:p>
    <w:sectPr w:rsidR="00ED787B">
      <w:headerReference w:type="default" r:id="rId7"/>
      <w:footerReference w:type="even" r:id="rId8"/>
      <w:footerReference w:type="default" r:id="rId9"/>
      <w:pgSz w:w="12240" w:h="15840"/>
      <w:pgMar w:top="1440" w:right="72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027C3" w14:textId="77777777" w:rsidR="00B40833" w:rsidRDefault="00B40833">
      <w:r>
        <w:separator/>
      </w:r>
    </w:p>
  </w:endnote>
  <w:endnote w:type="continuationSeparator" w:id="0">
    <w:p w14:paraId="26C9D91F" w14:textId="77777777" w:rsidR="00B40833" w:rsidRDefault="00B4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vant Garde">
    <w:altName w:val="Century Gothic"/>
    <w:panose1 w:val="00000000000000000000"/>
    <w:charset w:val="4D"/>
    <w:family w:val="auto"/>
    <w:notTrueType/>
    <w:pitch w:val="default"/>
    <w:sig w:usb0="00000003" w:usb1="00000000" w:usb2="00000000" w:usb3="00000000" w:csb0="00000001" w:csb1="00000000"/>
  </w:font>
  <w:font w:name="New York">
    <w:panose1 w:val="02040503060506020304"/>
    <w:charset w:val="4D"/>
    <w:family w:val="roman"/>
    <w:notTrueType/>
    <w:pitch w:val="variable"/>
    <w:sig w:usb0="00000003" w:usb1="00000000" w:usb2="00000000" w:usb3="00000000" w:csb0="00000001" w:csb1="00000000"/>
  </w:font>
  <w:font w:name="AvenirLTStd-Medium">
    <w:altName w:val="Calibri"/>
    <w:panose1 w:val="00000000000000000000"/>
    <w:charset w:val="4D"/>
    <w:family w:val="auto"/>
    <w:notTrueType/>
    <w:pitch w:val="default"/>
    <w:sig w:usb0="00000003" w:usb1="00000000" w:usb2="00000000" w:usb3="00000000" w:csb0="00000001" w:csb1="00000000"/>
  </w:font>
  <w:font w:name="TimesLTStd-Roman">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venirLTStd-Roman">
    <w:panose1 w:val="00000000000000000000"/>
    <w:charset w:val="4D"/>
    <w:family w:val="auto"/>
    <w:notTrueType/>
    <w:pitch w:val="default"/>
    <w:sig w:usb0="00000003" w:usb1="00000000" w:usb2="00000000" w:usb3="00000000" w:csb0="00000001" w:csb1="00000000"/>
  </w:font>
  <w:font w:name="AvenirLTStd-Heavy">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DFA75" w14:textId="52D8B183" w:rsidR="00053ED7" w:rsidRPr="00AC4F4B" w:rsidRDefault="00053ED7" w:rsidP="006E0BB4">
    <w:pPr>
      <w:pStyle w:val="Footer"/>
      <w:tabs>
        <w:tab w:val="clear" w:pos="4320"/>
        <w:tab w:val="clear" w:pos="8640"/>
        <w:tab w:val="right" w:pos="9720"/>
      </w:tabs>
      <w:jc w:val="center"/>
      <w:rPr>
        <w:rFonts w:ascii="Times New Roman" w:hAnsi="Times New Roman"/>
        <w:i/>
        <w:sz w:val="18"/>
      </w:rPr>
    </w:pPr>
    <w:r w:rsidRPr="00AC4F4B">
      <w:rPr>
        <w:rFonts w:ascii="Times New Roman" w:hAnsi="Times New Roman"/>
        <w:i/>
        <w:sz w:val="18"/>
      </w:rPr>
      <w:t>Instructors Resource Manual</w:t>
    </w:r>
    <w:r w:rsidRPr="00AC4F4B">
      <w:rPr>
        <w:rFonts w:ascii="Times New Roman" w:hAnsi="Times New Roman"/>
        <w:i/>
        <w:sz w:val="18"/>
      </w:rPr>
      <w:tab/>
      <w:t>14-</w:t>
    </w:r>
    <w:r w:rsidRPr="00AC4F4B">
      <w:rPr>
        <w:rFonts w:ascii="Times New Roman" w:hAnsi="Times New Roman"/>
        <w:i/>
        <w:sz w:val="18"/>
      </w:rPr>
      <w:fldChar w:fldCharType="begin"/>
    </w:r>
    <w:r w:rsidRPr="00AC4F4B">
      <w:rPr>
        <w:rFonts w:ascii="Times New Roman" w:hAnsi="Times New Roman"/>
        <w:i/>
        <w:sz w:val="18"/>
      </w:rPr>
      <w:instrText>page \\* arabic</w:instrText>
    </w:r>
    <w:r w:rsidRPr="00AC4F4B">
      <w:rPr>
        <w:rFonts w:ascii="Times New Roman" w:hAnsi="Times New Roman"/>
        <w:i/>
        <w:sz w:val="18"/>
      </w:rPr>
      <w:fldChar w:fldCharType="separate"/>
    </w:r>
    <w:r w:rsidR="00515D06">
      <w:rPr>
        <w:rFonts w:ascii="Times New Roman" w:hAnsi="Times New Roman"/>
        <w:i/>
        <w:noProof/>
        <w:sz w:val="18"/>
      </w:rPr>
      <w:t>4</w:t>
    </w:r>
    <w:r w:rsidRPr="00AC4F4B">
      <w:rPr>
        <w:rFonts w:ascii="Times New Roman" w:hAnsi="Times New Roman"/>
        <w:i/>
        <w:sz w:val="18"/>
      </w:rPr>
      <w:fldChar w:fldCharType="end"/>
    </w:r>
    <w:r w:rsidRPr="00AC4F4B">
      <w:rPr>
        <w:rFonts w:ascii="Times New Roman" w:hAnsi="Times New Roman"/>
        <w:sz w:val="18"/>
        <w:szCs w:val="18"/>
      </w:rPr>
      <w:t xml:space="preserve"> </w:t>
    </w:r>
  </w:p>
  <w:p w14:paraId="7A03A36B" w14:textId="6A46BEF0" w:rsidR="00053ED7" w:rsidRPr="00AC4F4B" w:rsidRDefault="00053ED7" w:rsidP="00D66A07">
    <w:pPr>
      <w:pStyle w:val="Footer"/>
      <w:pBdr>
        <w:top w:val="single" w:sz="6" w:space="0" w:color="auto"/>
      </w:pBdr>
      <w:tabs>
        <w:tab w:val="clear" w:pos="4320"/>
        <w:tab w:val="clear" w:pos="8640"/>
        <w:tab w:val="left" w:pos="2160"/>
        <w:tab w:val="right" w:pos="9720"/>
      </w:tabs>
      <w:rPr>
        <w:rFonts w:ascii="Times New Roman" w:hAnsi="Times New Roman"/>
        <w:i/>
        <w:sz w:val="18"/>
      </w:rPr>
    </w:pPr>
    <w:r w:rsidRPr="00AC4F4B">
      <w:rPr>
        <w:rFonts w:ascii="Times New Roman" w:hAnsi="Times New Roman"/>
        <w:sz w:val="18"/>
        <w:szCs w:val="18"/>
      </w:rPr>
      <w:t>Copyright © 2018 McGraw-Hill Education. All rights reserved. No reproduction or distribution without the prior written consent of McGraw-Hill Education.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F6CAE" w14:textId="5CFF0103" w:rsidR="00053ED7" w:rsidRPr="00AC4F4B" w:rsidRDefault="00053ED7" w:rsidP="004B3E83">
    <w:pPr>
      <w:pStyle w:val="Footer"/>
      <w:tabs>
        <w:tab w:val="clear" w:pos="4320"/>
        <w:tab w:val="clear" w:pos="8640"/>
        <w:tab w:val="right" w:pos="9720"/>
      </w:tabs>
      <w:jc w:val="center"/>
      <w:rPr>
        <w:rFonts w:ascii="Times New Roman" w:hAnsi="Times New Roman"/>
        <w:i/>
        <w:sz w:val="18"/>
      </w:rPr>
    </w:pPr>
    <w:r w:rsidRPr="00AC4F4B">
      <w:rPr>
        <w:rFonts w:ascii="Times New Roman" w:hAnsi="Times New Roman"/>
        <w:i/>
        <w:sz w:val="18"/>
      </w:rPr>
      <w:t>Instructors Resource Manual</w:t>
    </w:r>
    <w:r w:rsidRPr="00AC4F4B">
      <w:rPr>
        <w:rFonts w:ascii="Times New Roman" w:hAnsi="Times New Roman"/>
        <w:i/>
        <w:sz w:val="18"/>
      </w:rPr>
      <w:tab/>
      <w:t>14-</w:t>
    </w:r>
    <w:r w:rsidRPr="00AC4F4B">
      <w:rPr>
        <w:rFonts w:ascii="Times New Roman" w:hAnsi="Times New Roman"/>
        <w:i/>
        <w:sz w:val="18"/>
      </w:rPr>
      <w:fldChar w:fldCharType="begin"/>
    </w:r>
    <w:r w:rsidRPr="00AC4F4B">
      <w:rPr>
        <w:rFonts w:ascii="Times New Roman" w:hAnsi="Times New Roman"/>
        <w:i/>
        <w:sz w:val="18"/>
      </w:rPr>
      <w:instrText>page \\* arabic</w:instrText>
    </w:r>
    <w:r w:rsidRPr="00AC4F4B">
      <w:rPr>
        <w:rFonts w:ascii="Times New Roman" w:hAnsi="Times New Roman"/>
        <w:i/>
        <w:sz w:val="18"/>
      </w:rPr>
      <w:fldChar w:fldCharType="separate"/>
    </w:r>
    <w:r w:rsidR="00515D06">
      <w:rPr>
        <w:rFonts w:ascii="Times New Roman" w:hAnsi="Times New Roman"/>
        <w:i/>
        <w:noProof/>
        <w:sz w:val="18"/>
      </w:rPr>
      <w:t>1</w:t>
    </w:r>
    <w:r w:rsidRPr="00AC4F4B">
      <w:rPr>
        <w:rFonts w:ascii="Times New Roman" w:hAnsi="Times New Roman"/>
        <w:i/>
        <w:sz w:val="18"/>
      </w:rPr>
      <w:fldChar w:fldCharType="end"/>
    </w:r>
    <w:r w:rsidRPr="00AC4F4B">
      <w:rPr>
        <w:rFonts w:ascii="Times New Roman" w:hAnsi="Times New Roman"/>
        <w:sz w:val="18"/>
        <w:szCs w:val="18"/>
      </w:rPr>
      <w:t xml:space="preserve"> </w:t>
    </w:r>
  </w:p>
  <w:p w14:paraId="5D8E281F" w14:textId="0D9F1814" w:rsidR="00053ED7" w:rsidRPr="00AC4F4B" w:rsidRDefault="00053ED7" w:rsidP="00D66A07">
    <w:pPr>
      <w:pStyle w:val="Footer"/>
      <w:pBdr>
        <w:top w:val="single" w:sz="6" w:space="0" w:color="auto"/>
      </w:pBdr>
      <w:tabs>
        <w:tab w:val="clear" w:pos="4320"/>
        <w:tab w:val="clear" w:pos="8640"/>
        <w:tab w:val="left" w:pos="2160"/>
        <w:tab w:val="right" w:pos="9720"/>
      </w:tabs>
      <w:rPr>
        <w:rFonts w:ascii="Times New Roman" w:hAnsi="Times New Roman"/>
        <w:i/>
        <w:sz w:val="18"/>
      </w:rPr>
    </w:pPr>
    <w:r w:rsidRPr="00AC4F4B">
      <w:rPr>
        <w:rFonts w:ascii="Times New Roman" w:hAnsi="Times New Roman"/>
        <w:sz w:val="18"/>
        <w:szCs w:val="18"/>
      </w:rPr>
      <w:t>Copyright © 2018 McGraw-Hill Education. All rights reserved. No reproduction or distribution without the prior written consent of McGraw-Hill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EF399" w14:textId="77777777" w:rsidR="00B40833" w:rsidRDefault="00B40833">
      <w:r>
        <w:separator/>
      </w:r>
    </w:p>
  </w:footnote>
  <w:footnote w:type="continuationSeparator" w:id="0">
    <w:p w14:paraId="21939452" w14:textId="77777777" w:rsidR="00B40833" w:rsidRDefault="00B4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B5C5" w14:textId="77777777" w:rsidR="00053ED7" w:rsidRDefault="00053ED7">
    <w:pPr>
      <w:pStyle w:val="Header"/>
      <w:tabs>
        <w:tab w:val="clear" w:pos="4320"/>
        <w:tab w:val="clear" w:pos="8640"/>
        <w:tab w:val="right" w:pos="7560"/>
      </w:tabs>
      <w:ind w:left="-2520"/>
      <w:rPr>
        <w:b/>
        <w:bCs/>
      </w:rPr>
    </w:pPr>
  </w:p>
  <w:p w14:paraId="28B40668" w14:textId="77777777" w:rsidR="00053ED7" w:rsidRDefault="00053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65CB4"/>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E93447C"/>
    <w:multiLevelType w:val="hybridMultilevel"/>
    <w:tmpl w:val="23E676A2"/>
    <w:lvl w:ilvl="0" w:tplc="A34634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2D0F39"/>
    <w:multiLevelType w:val="hybridMultilevel"/>
    <w:tmpl w:val="5DFE3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34726"/>
    <w:multiLevelType w:val="hybridMultilevel"/>
    <w:tmpl w:val="06B22F22"/>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DFC7EA8"/>
    <w:multiLevelType w:val="hybridMultilevel"/>
    <w:tmpl w:val="A4C2288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1D773BD"/>
    <w:multiLevelType w:val="singleLevel"/>
    <w:tmpl w:val="E1FC24B0"/>
    <w:lvl w:ilvl="0">
      <w:start w:val="1"/>
      <w:numFmt w:val="decimal"/>
      <w:lvlText w:val="%1."/>
      <w:lvlJc w:val="left"/>
      <w:pPr>
        <w:tabs>
          <w:tab w:val="num" w:pos="360"/>
        </w:tabs>
        <w:ind w:left="360" w:hanging="360"/>
      </w:pPr>
      <w:rPr>
        <w:rFonts w:ascii="Palatino" w:hAnsi="Palatino" w:cs="Times New Roman" w:hint="default"/>
      </w:rPr>
    </w:lvl>
  </w:abstractNum>
  <w:abstractNum w:abstractNumId="7" w15:restartNumberingAfterBreak="0">
    <w:nsid w:val="2B56319C"/>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2D595AC9"/>
    <w:multiLevelType w:val="hybridMultilevel"/>
    <w:tmpl w:val="224E82C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2E047B4E"/>
    <w:multiLevelType w:val="singleLevel"/>
    <w:tmpl w:val="04090001"/>
    <w:lvl w:ilvl="0">
      <w:start w:val="1"/>
      <w:numFmt w:val="bullet"/>
      <w:lvlText w:val=""/>
      <w:lvlJc w:val="left"/>
      <w:pPr>
        <w:tabs>
          <w:tab w:val="num" w:pos="720"/>
        </w:tabs>
        <w:ind w:left="720" w:hanging="360"/>
      </w:pPr>
      <w:rPr>
        <w:rFonts w:ascii="Symbol" w:hAnsi="Symbol" w:cs="Times New Roman" w:hint="default"/>
      </w:rPr>
    </w:lvl>
  </w:abstractNum>
  <w:abstractNum w:abstractNumId="10" w15:restartNumberingAfterBreak="0">
    <w:nsid w:val="2E5E7C31"/>
    <w:multiLevelType w:val="hybridMultilevel"/>
    <w:tmpl w:val="4AD664F4"/>
    <w:lvl w:ilvl="0" w:tplc="0409000F">
      <w:start w:val="1"/>
      <w:numFmt w:val="decimal"/>
      <w:lvlText w:val="%1."/>
      <w:lvlJc w:val="left"/>
      <w:pPr>
        <w:tabs>
          <w:tab w:val="num" w:pos="1440"/>
        </w:tabs>
        <w:ind w:left="1440" w:hanging="360"/>
      </w:pPr>
    </w:lvl>
    <w:lvl w:ilvl="1" w:tplc="3D766A1E">
      <w:start w:val="1"/>
      <w:numFmt w:val="lowerLetter"/>
      <w:lvlText w:val="(%2)"/>
      <w:lvlJc w:val="left"/>
      <w:pPr>
        <w:tabs>
          <w:tab w:val="num" w:pos="2730"/>
        </w:tabs>
        <w:ind w:left="2730" w:hanging="93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1" w15:restartNumberingAfterBreak="0">
    <w:nsid w:val="37742829"/>
    <w:multiLevelType w:val="hybridMultilevel"/>
    <w:tmpl w:val="52D8B56C"/>
    <w:lvl w:ilvl="0" w:tplc="15B06516">
      <w:start w:val="10"/>
      <w:numFmt w:val="upperLetter"/>
      <w:lvlText w:val="%1."/>
      <w:lvlJc w:val="left"/>
      <w:pPr>
        <w:tabs>
          <w:tab w:val="num" w:pos="900"/>
        </w:tabs>
        <w:ind w:left="900" w:hanging="360"/>
      </w:pPr>
      <w:rPr>
        <w:rFonts w:ascii="Times New Roman" w:hAnsi="Times New Roman" w:cs="Times New Roman" w:hint="default"/>
        <w:sz w:val="20"/>
        <w:szCs w:val="20"/>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2" w15:restartNumberingAfterBreak="0">
    <w:nsid w:val="3BC94C82"/>
    <w:multiLevelType w:val="hybridMultilevel"/>
    <w:tmpl w:val="872E9654"/>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CD740AE"/>
    <w:multiLevelType w:val="hybridMultilevel"/>
    <w:tmpl w:val="AEA21B88"/>
    <w:lvl w:ilvl="0" w:tplc="0409000F">
      <w:start w:val="2"/>
      <w:numFmt w:val="decimal"/>
      <w:lvlText w:val="%1."/>
      <w:lvlJc w:val="left"/>
      <w:pPr>
        <w:tabs>
          <w:tab w:val="num" w:pos="1400"/>
        </w:tabs>
        <w:ind w:left="1400" w:hanging="360"/>
      </w:pPr>
      <w:rPr>
        <w:rFonts w:hint="default"/>
      </w:rPr>
    </w:lvl>
    <w:lvl w:ilvl="1" w:tplc="04090019">
      <w:start w:val="1"/>
      <w:numFmt w:val="lowerLetter"/>
      <w:lvlText w:val="%2."/>
      <w:lvlJc w:val="left"/>
      <w:pPr>
        <w:tabs>
          <w:tab w:val="num" w:pos="2120"/>
        </w:tabs>
        <w:ind w:left="2120" w:hanging="360"/>
      </w:pPr>
    </w:lvl>
    <w:lvl w:ilvl="2" w:tplc="0409001B">
      <w:start w:val="1"/>
      <w:numFmt w:val="lowerRoman"/>
      <w:lvlText w:val="%3."/>
      <w:lvlJc w:val="right"/>
      <w:pPr>
        <w:tabs>
          <w:tab w:val="num" w:pos="2840"/>
        </w:tabs>
        <w:ind w:left="2840" w:hanging="180"/>
      </w:pPr>
    </w:lvl>
    <w:lvl w:ilvl="3" w:tplc="0409000F">
      <w:start w:val="1"/>
      <w:numFmt w:val="decimal"/>
      <w:lvlText w:val="%4."/>
      <w:lvlJc w:val="left"/>
      <w:pPr>
        <w:tabs>
          <w:tab w:val="num" w:pos="3560"/>
        </w:tabs>
        <w:ind w:left="3560" w:hanging="360"/>
      </w:pPr>
    </w:lvl>
    <w:lvl w:ilvl="4" w:tplc="04090019">
      <w:start w:val="1"/>
      <w:numFmt w:val="lowerLetter"/>
      <w:lvlText w:val="%5."/>
      <w:lvlJc w:val="left"/>
      <w:pPr>
        <w:tabs>
          <w:tab w:val="num" w:pos="4280"/>
        </w:tabs>
        <w:ind w:left="4280" w:hanging="360"/>
      </w:pPr>
    </w:lvl>
    <w:lvl w:ilvl="5" w:tplc="0409001B">
      <w:start w:val="1"/>
      <w:numFmt w:val="lowerRoman"/>
      <w:lvlText w:val="%6."/>
      <w:lvlJc w:val="right"/>
      <w:pPr>
        <w:tabs>
          <w:tab w:val="num" w:pos="5000"/>
        </w:tabs>
        <w:ind w:left="5000" w:hanging="180"/>
      </w:pPr>
    </w:lvl>
    <w:lvl w:ilvl="6" w:tplc="0409000F">
      <w:start w:val="1"/>
      <w:numFmt w:val="decimal"/>
      <w:lvlText w:val="%7."/>
      <w:lvlJc w:val="left"/>
      <w:pPr>
        <w:tabs>
          <w:tab w:val="num" w:pos="5720"/>
        </w:tabs>
        <w:ind w:left="5720" w:hanging="360"/>
      </w:pPr>
    </w:lvl>
    <w:lvl w:ilvl="7" w:tplc="04090019">
      <w:start w:val="1"/>
      <w:numFmt w:val="lowerLetter"/>
      <w:lvlText w:val="%8."/>
      <w:lvlJc w:val="left"/>
      <w:pPr>
        <w:tabs>
          <w:tab w:val="num" w:pos="6440"/>
        </w:tabs>
        <w:ind w:left="6440" w:hanging="360"/>
      </w:pPr>
    </w:lvl>
    <w:lvl w:ilvl="8" w:tplc="0409001B">
      <w:start w:val="1"/>
      <w:numFmt w:val="lowerRoman"/>
      <w:lvlText w:val="%9."/>
      <w:lvlJc w:val="right"/>
      <w:pPr>
        <w:tabs>
          <w:tab w:val="num" w:pos="7160"/>
        </w:tabs>
        <w:ind w:left="7160" w:hanging="180"/>
      </w:pPr>
    </w:lvl>
  </w:abstractNum>
  <w:abstractNum w:abstractNumId="14" w15:restartNumberingAfterBreak="0">
    <w:nsid w:val="3CF124F4"/>
    <w:multiLevelType w:val="hybridMultilevel"/>
    <w:tmpl w:val="CB3409F2"/>
    <w:lvl w:ilvl="0" w:tplc="04090001">
      <w:start w:val="1"/>
      <w:numFmt w:val="bullet"/>
      <w:lvlText w:val=""/>
      <w:lvlJc w:val="left"/>
      <w:pPr>
        <w:tabs>
          <w:tab w:val="num" w:pos="2160"/>
        </w:tabs>
        <w:ind w:left="2160" w:hanging="360"/>
      </w:pPr>
      <w:rPr>
        <w:rFonts w:ascii="Symbol" w:hAnsi="Symbol" w:cs="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Times New Roman" w:hint="default"/>
      </w:rPr>
    </w:lvl>
    <w:lvl w:ilvl="3" w:tplc="04090001">
      <w:start w:val="1"/>
      <w:numFmt w:val="bullet"/>
      <w:lvlText w:val=""/>
      <w:lvlJc w:val="left"/>
      <w:pPr>
        <w:tabs>
          <w:tab w:val="num" w:pos="4320"/>
        </w:tabs>
        <w:ind w:left="4320" w:hanging="360"/>
      </w:pPr>
      <w:rPr>
        <w:rFonts w:ascii="Symbol" w:hAnsi="Symbol" w:cs="Times New Roman"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Times New Roman" w:hint="default"/>
      </w:rPr>
    </w:lvl>
    <w:lvl w:ilvl="6" w:tplc="04090001">
      <w:start w:val="1"/>
      <w:numFmt w:val="bullet"/>
      <w:lvlText w:val=""/>
      <w:lvlJc w:val="left"/>
      <w:pPr>
        <w:tabs>
          <w:tab w:val="num" w:pos="6480"/>
        </w:tabs>
        <w:ind w:left="6480" w:hanging="360"/>
      </w:pPr>
      <w:rPr>
        <w:rFonts w:ascii="Symbol" w:hAnsi="Symbol" w:cs="Times New Roman"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Times New Roman" w:hint="default"/>
      </w:rPr>
    </w:lvl>
  </w:abstractNum>
  <w:abstractNum w:abstractNumId="15" w15:restartNumberingAfterBreak="0">
    <w:nsid w:val="3E562160"/>
    <w:multiLevelType w:val="hybridMultilevel"/>
    <w:tmpl w:val="BADC4410"/>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F705DC7"/>
    <w:multiLevelType w:val="hybridMultilevel"/>
    <w:tmpl w:val="6268AF5A"/>
    <w:lvl w:ilvl="0" w:tplc="5E2E9AC0">
      <w:start w:val="5"/>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43BF2698"/>
    <w:multiLevelType w:val="hybridMultilevel"/>
    <w:tmpl w:val="F2309C9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EA3180"/>
    <w:multiLevelType w:val="hybridMultilevel"/>
    <w:tmpl w:val="8258E9DC"/>
    <w:lvl w:ilvl="0" w:tplc="D44CFD78">
      <w:start w:val="2"/>
      <w:numFmt w:val="bullet"/>
      <w:lvlText w:val=""/>
      <w:lvlJc w:val="left"/>
      <w:pPr>
        <w:tabs>
          <w:tab w:val="num" w:pos="720"/>
        </w:tabs>
        <w:ind w:left="720" w:hanging="360"/>
      </w:pPr>
      <w:rPr>
        <w:rFonts w:ascii="Wingdings 3" w:eastAsia="Times New Roman" w:hAnsi="Wingdings 3"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441812B8"/>
    <w:multiLevelType w:val="hybridMultilevel"/>
    <w:tmpl w:val="2CD693AE"/>
    <w:lvl w:ilvl="0" w:tplc="7610C264">
      <w:start w:val="1"/>
      <w:numFmt w:val="lowerLetter"/>
      <w:lvlText w:val="(%1)"/>
      <w:lvlJc w:val="left"/>
      <w:pPr>
        <w:tabs>
          <w:tab w:val="num" w:pos="2088"/>
        </w:tabs>
        <w:ind w:left="2088" w:hanging="360"/>
      </w:pPr>
      <w:rPr>
        <w:rFonts w:hint="default"/>
      </w:rPr>
    </w:lvl>
    <w:lvl w:ilvl="1" w:tplc="04090019">
      <w:start w:val="1"/>
      <w:numFmt w:val="lowerLetter"/>
      <w:lvlText w:val="%2."/>
      <w:lvlJc w:val="left"/>
      <w:pPr>
        <w:tabs>
          <w:tab w:val="num" w:pos="2808"/>
        </w:tabs>
        <w:ind w:left="2808" w:hanging="360"/>
      </w:pPr>
    </w:lvl>
    <w:lvl w:ilvl="2" w:tplc="0409001B">
      <w:start w:val="1"/>
      <w:numFmt w:val="lowerRoman"/>
      <w:lvlText w:val="%3."/>
      <w:lvlJc w:val="right"/>
      <w:pPr>
        <w:tabs>
          <w:tab w:val="num" w:pos="3528"/>
        </w:tabs>
        <w:ind w:left="3528" w:hanging="180"/>
      </w:pPr>
    </w:lvl>
    <w:lvl w:ilvl="3" w:tplc="0409000F">
      <w:start w:val="1"/>
      <w:numFmt w:val="decimal"/>
      <w:lvlText w:val="%4."/>
      <w:lvlJc w:val="left"/>
      <w:pPr>
        <w:tabs>
          <w:tab w:val="num" w:pos="4248"/>
        </w:tabs>
        <w:ind w:left="4248" w:hanging="360"/>
      </w:pPr>
    </w:lvl>
    <w:lvl w:ilvl="4" w:tplc="04090019">
      <w:start w:val="1"/>
      <w:numFmt w:val="lowerLetter"/>
      <w:lvlText w:val="%5."/>
      <w:lvlJc w:val="left"/>
      <w:pPr>
        <w:tabs>
          <w:tab w:val="num" w:pos="4968"/>
        </w:tabs>
        <w:ind w:left="4968" w:hanging="360"/>
      </w:pPr>
    </w:lvl>
    <w:lvl w:ilvl="5" w:tplc="0409001B">
      <w:start w:val="1"/>
      <w:numFmt w:val="lowerRoman"/>
      <w:lvlText w:val="%6."/>
      <w:lvlJc w:val="right"/>
      <w:pPr>
        <w:tabs>
          <w:tab w:val="num" w:pos="5688"/>
        </w:tabs>
        <w:ind w:left="5688" w:hanging="180"/>
      </w:pPr>
    </w:lvl>
    <w:lvl w:ilvl="6" w:tplc="0409000F">
      <w:start w:val="1"/>
      <w:numFmt w:val="decimal"/>
      <w:lvlText w:val="%7."/>
      <w:lvlJc w:val="left"/>
      <w:pPr>
        <w:tabs>
          <w:tab w:val="num" w:pos="6408"/>
        </w:tabs>
        <w:ind w:left="6408" w:hanging="360"/>
      </w:pPr>
    </w:lvl>
    <w:lvl w:ilvl="7" w:tplc="04090019">
      <w:start w:val="1"/>
      <w:numFmt w:val="lowerLetter"/>
      <w:lvlText w:val="%8."/>
      <w:lvlJc w:val="left"/>
      <w:pPr>
        <w:tabs>
          <w:tab w:val="num" w:pos="7128"/>
        </w:tabs>
        <w:ind w:left="7128" w:hanging="360"/>
      </w:pPr>
    </w:lvl>
    <w:lvl w:ilvl="8" w:tplc="0409001B">
      <w:start w:val="1"/>
      <w:numFmt w:val="lowerRoman"/>
      <w:lvlText w:val="%9."/>
      <w:lvlJc w:val="right"/>
      <w:pPr>
        <w:tabs>
          <w:tab w:val="num" w:pos="7848"/>
        </w:tabs>
        <w:ind w:left="7848" w:hanging="180"/>
      </w:pPr>
    </w:lvl>
  </w:abstractNum>
  <w:abstractNum w:abstractNumId="20" w15:restartNumberingAfterBreak="0">
    <w:nsid w:val="45231B27"/>
    <w:multiLevelType w:val="hybridMultilevel"/>
    <w:tmpl w:val="67F6DB3C"/>
    <w:lvl w:ilvl="0" w:tplc="E5987E86">
      <w:start w:val="1"/>
      <w:numFmt w:val="upperLetter"/>
      <w:lvlText w:val="%1."/>
      <w:lvlJc w:val="left"/>
      <w:pPr>
        <w:tabs>
          <w:tab w:val="num" w:pos="975"/>
        </w:tabs>
        <w:ind w:left="975" w:hanging="43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560267B"/>
    <w:multiLevelType w:val="hybridMultilevel"/>
    <w:tmpl w:val="C2F6E67E"/>
    <w:lvl w:ilvl="0" w:tplc="57E8B2D6">
      <w:start w:val="1"/>
      <w:numFmt w:val="upperLetter"/>
      <w:lvlText w:val="%1."/>
      <w:lvlJc w:val="left"/>
      <w:pPr>
        <w:tabs>
          <w:tab w:val="num" w:pos="975"/>
        </w:tabs>
        <w:ind w:left="975" w:hanging="435"/>
      </w:pPr>
      <w:rPr>
        <w:rFonts w:hint="default"/>
        <w:color w:val="auto"/>
      </w:rPr>
    </w:lvl>
    <w:lvl w:ilvl="1" w:tplc="17740D6C">
      <w:start w:val="2"/>
      <w:numFmt w:val="decimal"/>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2" w15:restartNumberingAfterBreak="0">
    <w:nsid w:val="48BB6ABC"/>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4C5B79C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4C773D88"/>
    <w:multiLevelType w:val="hybridMultilevel"/>
    <w:tmpl w:val="F6664006"/>
    <w:lvl w:ilvl="0" w:tplc="A7866CA2">
      <w:start w:val="2"/>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E4F6165"/>
    <w:multiLevelType w:val="hybridMultilevel"/>
    <w:tmpl w:val="1C18420E"/>
    <w:lvl w:ilvl="0" w:tplc="3A565B1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51C53855"/>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546727CD"/>
    <w:multiLevelType w:val="hybridMultilevel"/>
    <w:tmpl w:val="150A5FD2"/>
    <w:lvl w:ilvl="0" w:tplc="D44CFD78">
      <w:start w:val="2"/>
      <w:numFmt w:val="bullet"/>
      <w:lvlText w:val=""/>
      <w:lvlJc w:val="left"/>
      <w:pPr>
        <w:tabs>
          <w:tab w:val="num" w:pos="720"/>
        </w:tabs>
        <w:ind w:left="720" w:hanging="360"/>
      </w:pPr>
      <w:rPr>
        <w:rFonts w:ascii="Wingdings 3" w:eastAsia="Times New Roman" w:hAnsi="Wingdings 3"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57175BDD"/>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59014720"/>
    <w:multiLevelType w:val="hybridMultilevel"/>
    <w:tmpl w:val="AFA28B7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0" w15:restartNumberingAfterBreak="0">
    <w:nsid w:val="5B9D6984"/>
    <w:multiLevelType w:val="hybridMultilevel"/>
    <w:tmpl w:val="516E71E6"/>
    <w:lvl w:ilvl="0" w:tplc="E5EAE07A">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DA840CC"/>
    <w:multiLevelType w:val="hybridMultilevel"/>
    <w:tmpl w:val="9516CFF8"/>
    <w:lvl w:ilvl="0" w:tplc="D44CFD78">
      <w:start w:val="2"/>
      <w:numFmt w:val="bullet"/>
      <w:lvlText w:val=""/>
      <w:lvlJc w:val="left"/>
      <w:pPr>
        <w:tabs>
          <w:tab w:val="num" w:pos="720"/>
        </w:tabs>
        <w:ind w:left="720" w:hanging="360"/>
      </w:pPr>
      <w:rPr>
        <w:rFonts w:ascii="Wingdings 3" w:eastAsia="Times New Roman" w:hAnsi="Wingdings 3"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5DFD6F17"/>
    <w:multiLevelType w:val="singleLevel"/>
    <w:tmpl w:val="4726DD10"/>
    <w:lvl w:ilvl="0">
      <w:start w:val="1"/>
      <w:numFmt w:val="decimal"/>
      <w:lvlText w:val="%1."/>
      <w:lvlJc w:val="left"/>
      <w:pPr>
        <w:tabs>
          <w:tab w:val="num" w:pos="440"/>
        </w:tabs>
        <w:ind w:left="440" w:hanging="360"/>
      </w:pPr>
      <w:rPr>
        <w:rFonts w:hint="default"/>
      </w:rPr>
    </w:lvl>
  </w:abstractNum>
  <w:abstractNum w:abstractNumId="33" w15:restartNumberingAfterBreak="0">
    <w:nsid w:val="5FBB49FE"/>
    <w:multiLevelType w:val="hybridMultilevel"/>
    <w:tmpl w:val="31CCBC5C"/>
    <w:lvl w:ilvl="0" w:tplc="CFE08394">
      <w:start w:val="4"/>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15:restartNumberingAfterBreak="0">
    <w:nsid w:val="61956A2F"/>
    <w:multiLevelType w:val="hybridMultilevel"/>
    <w:tmpl w:val="D5F2534A"/>
    <w:lvl w:ilvl="0" w:tplc="0409000F">
      <w:start w:val="5"/>
      <w:numFmt w:val="decimal"/>
      <w:lvlText w:val="%1."/>
      <w:lvlJc w:val="left"/>
      <w:pPr>
        <w:tabs>
          <w:tab w:val="num" w:pos="720"/>
        </w:tabs>
        <w:ind w:left="720" w:hanging="360"/>
      </w:pPr>
      <w:rPr>
        <w:rFonts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1523360"/>
    <w:multiLevelType w:val="hybridMultilevel"/>
    <w:tmpl w:val="3B2C9B74"/>
    <w:lvl w:ilvl="0" w:tplc="D44CFD78">
      <w:start w:val="2"/>
      <w:numFmt w:val="bullet"/>
      <w:lvlText w:val=""/>
      <w:lvlJc w:val="left"/>
      <w:pPr>
        <w:tabs>
          <w:tab w:val="num" w:pos="720"/>
        </w:tabs>
        <w:ind w:left="720" w:hanging="360"/>
      </w:pPr>
      <w:rPr>
        <w:rFonts w:ascii="Wingdings 3" w:eastAsia="Times New Roman" w:hAnsi="Wingdings 3"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74355334"/>
    <w:multiLevelType w:val="hybridMultilevel"/>
    <w:tmpl w:val="AEA21B88"/>
    <w:lvl w:ilvl="0" w:tplc="04090001">
      <w:start w:val="1"/>
      <w:numFmt w:val="bullet"/>
      <w:lvlText w:val=""/>
      <w:lvlJc w:val="left"/>
      <w:pPr>
        <w:tabs>
          <w:tab w:val="num" w:pos="2160"/>
        </w:tabs>
        <w:ind w:left="2160" w:hanging="360"/>
      </w:pPr>
      <w:rPr>
        <w:rFonts w:ascii="Symbol" w:hAnsi="Symbol" w:cs="Times New Roman" w:hint="default"/>
      </w:rPr>
    </w:lvl>
    <w:lvl w:ilvl="1" w:tplc="04090019">
      <w:start w:val="1"/>
      <w:numFmt w:val="lowerLetter"/>
      <w:lvlText w:val="%2."/>
      <w:lvlJc w:val="left"/>
      <w:pPr>
        <w:tabs>
          <w:tab w:val="num" w:pos="2120"/>
        </w:tabs>
        <w:ind w:left="2120" w:hanging="360"/>
      </w:pPr>
    </w:lvl>
    <w:lvl w:ilvl="2" w:tplc="0409001B">
      <w:start w:val="1"/>
      <w:numFmt w:val="lowerRoman"/>
      <w:lvlText w:val="%3."/>
      <w:lvlJc w:val="right"/>
      <w:pPr>
        <w:tabs>
          <w:tab w:val="num" w:pos="2840"/>
        </w:tabs>
        <w:ind w:left="2840" w:hanging="180"/>
      </w:pPr>
    </w:lvl>
    <w:lvl w:ilvl="3" w:tplc="0409000F">
      <w:start w:val="1"/>
      <w:numFmt w:val="decimal"/>
      <w:lvlText w:val="%4."/>
      <w:lvlJc w:val="left"/>
      <w:pPr>
        <w:tabs>
          <w:tab w:val="num" w:pos="3560"/>
        </w:tabs>
        <w:ind w:left="3560" w:hanging="360"/>
      </w:pPr>
    </w:lvl>
    <w:lvl w:ilvl="4" w:tplc="04090019">
      <w:start w:val="1"/>
      <w:numFmt w:val="lowerLetter"/>
      <w:lvlText w:val="%5."/>
      <w:lvlJc w:val="left"/>
      <w:pPr>
        <w:tabs>
          <w:tab w:val="num" w:pos="4280"/>
        </w:tabs>
        <w:ind w:left="4280" w:hanging="360"/>
      </w:pPr>
    </w:lvl>
    <w:lvl w:ilvl="5" w:tplc="0409001B">
      <w:start w:val="1"/>
      <w:numFmt w:val="lowerRoman"/>
      <w:lvlText w:val="%6."/>
      <w:lvlJc w:val="right"/>
      <w:pPr>
        <w:tabs>
          <w:tab w:val="num" w:pos="5000"/>
        </w:tabs>
        <w:ind w:left="5000" w:hanging="180"/>
      </w:pPr>
    </w:lvl>
    <w:lvl w:ilvl="6" w:tplc="0409000F">
      <w:start w:val="1"/>
      <w:numFmt w:val="decimal"/>
      <w:lvlText w:val="%7."/>
      <w:lvlJc w:val="left"/>
      <w:pPr>
        <w:tabs>
          <w:tab w:val="num" w:pos="5720"/>
        </w:tabs>
        <w:ind w:left="5720" w:hanging="360"/>
      </w:pPr>
    </w:lvl>
    <w:lvl w:ilvl="7" w:tplc="04090019">
      <w:start w:val="1"/>
      <w:numFmt w:val="lowerLetter"/>
      <w:lvlText w:val="%8."/>
      <w:lvlJc w:val="left"/>
      <w:pPr>
        <w:tabs>
          <w:tab w:val="num" w:pos="6440"/>
        </w:tabs>
        <w:ind w:left="6440" w:hanging="360"/>
      </w:pPr>
    </w:lvl>
    <w:lvl w:ilvl="8" w:tplc="0409001B">
      <w:start w:val="1"/>
      <w:numFmt w:val="lowerRoman"/>
      <w:lvlText w:val="%9."/>
      <w:lvlJc w:val="right"/>
      <w:pPr>
        <w:tabs>
          <w:tab w:val="num" w:pos="7160"/>
        </w:tabs>
        <w:ind w:left="7160" w:hanging="180"/>
      </w:pPr>
    </w:lvl>
  </w:abstractNum>
  <w:abstractNum w:abstractNumId="37" w15:restartNumberingAfterBreak="0">
    <w:nsid w:val="75884614"/>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8" w15:restartNumberingAfterBreak="0">
    <w:nsid w:val="77BB04FF"/>
    <w:multiLevelType w:val="singleLevel"/>
    <w:tmpl w:val="B2FE599C"/>
    <w:lvl w:ilvl="0">
      <w:start w:val="14"/>
      <w:numFmt w:val="upperLetter"/>
      <w:lvlText w:val="%1."/>
      <w:lvlJc w:val="left"/>
      <w:pPr>
        <w:tabs>
          <w:tab w:val="num" w:pos="1155"/>
        </w:tabs>
        <w:ind w:left="1155" w:hanging="495"/>
      </w:pPr>
      <w:rPr>
        <w:rFonts w:hint="default"/>
      </w:rPr>
    </w:lvl>
  </w:abstractNum>
  <w:abstractNum w:abstractNumId="39" w15:restartNumberingAfterBreak="0">
    <w:nsid w:val="797421EC"/>
    <w:multiLevelType w:val="hybridMultilevel"/>
    <w:tmpl w:val="6A3296F6"/>
    <w:lvl w:ilvl="0" w:tplc="04090015">
      <w:start w:val="6"/>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7ECC280B"/>
    <w:multiLevelType w:val="hybridMultilevel"/>
    <w:tmpl w:val="8682B978"/>
    <w:lvl w:ilvl="0" w:tplc="37041B9C">
      <w:start w:val="14"/>
      <w:numFmt w:val="bullet"/>
      <w:lvlText w:val=""/>
      <w:lvlJc w:val="left"/>
      <w:pPr>
        <w:tabs>
          <w:tab w:val="num" w:pos="720"/>
        </w:tabs>
        <w:ind w:left="720" w:hanging="360"/>
      </w:pPr>
      <w:rPr>
        <w:rFonts w:ascii="Wingdings 3" w:eastAsia="Times New Roman" w:hAnsi="Wingdings 3" w:cs="Times New Roman" w:hint="default"/>
        <w:color w:val="0000FF"/>
        <w:sz w:val="4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34"/>
  </w:num>
  <w:num w:numId="4">
    <w:abstractNumId w:val="0"/>
    <w:lvlOverride w:ilvl="0">
      <w:lvl w:ilvl="0">
        <w:numFmt w:val="bullet"/>
        <w:lvlText w:val=""/>
        <w:legacy w:legacy="1" w:legacySpace="0" w:legacyIndent="360"/>
        <w:lvlJc w:val="left"/>
        <w:pPr>
          <w:ind w:left="720" w:hanging="360"/>
        </w:pPr>
        <w:rPr>
          <w:rFonts w:ascii="Symbol" w:hAnsi="Symbol" w:cs="Times New Roman" w:hint="default"/>
        </w:rPr>
      </w:lvl>
    </w:lvlOverride>
  </w:num>
  <w:num w:numId="5">
    <w:abstractNumId w:val="32"/>
  </w:num>
  <w:num w:numId="6">
    <w:abstractNumId w:val="37"/>
  </w:num>
  <w:num w:numId="7">
    <w:abstractNumId w:val="9"/>
  </w:num>
  <w:num w:numId="8">
    <w:abstractNumId w:val="7"/>
  </w:num>
  <w:num w:numId="9">
    <w:abstractNumId w:val="6"/>
  </w:num>
  <w:num w:numId="10">
    <w:abstractNumId w:val="26"/>
  </w:num>
  <w:num w:numId="11">
    <w:abstractNumId w:val="28"/>
  </w:num>
  <w:num w:numId="12">
    <w:abstractNumId w:val="38"/>
  </w:num>
  <w:num w:numId="13">
    <w:abstractNumId w:val="23"/>
  </w:num>
  <w:num w:numId="14">
    <w:abstractNumId w:val="22"/>
  </w:num>
  <w:num w:numId="15">
    <w:abstractNumId w:val="1"/>
  </w:num>
  <w:num w:numId="16">
    <w:abstractNumId w:val="31"/>
  </w:num>
  <w:num w:numId="17">
    <w:abstractNumId w:val="8"/>
  </w:num>
  <w:num w:numId="18">
    <w:abstractNumId w:val="19"/>
  </w:num>
  <w:num w:numId="19">
    <w:abstractNumId w:val="35"/>
  </w:num>
  <w:num w:numId="20">
    <w:abstractNumId w:val="10"/>
  </w:num>
  <w:num w:numId="21">
    <w:abstractNumId w:val="27"/>
  </w:num>
  <w:num w:numId="22">
    <w:abstractNumId w:val="18"/>
  </w:num>
  <w:num w:numId="23">
    <w:abstractNumId w:val="5"/>
  </w:num>
  <w:num w:numId="24">
    <w:abstractNumId w:val="29"/>
  </w:num>
  <w:num w:numId="25">
    <w:abstractNumId w:val="21"/>
  </w:num>
  <w:num w:numId="26">
    <w:abstractNumId w:val="4"/>
  </w:num>
  <w:num w:numId="27">
    <w:abstractNumId w:val="13"/>
  </w:num>
  <w:num w:numId="28">
    <w:abstractNumId w:val="11"/>
  </w:num>
  <w:num w:numId="29">
    <w:abstractNumId w:val="14"/>
  </w:num>
  <w:num w:numId="30">
    <w:abstractNumId w:val="36"/>
  </w:num>
  <w:num w:numId="31">
    <w:abstractNumId w:val="17"/>
  </w:num>
  <w:num w:numId="32">
    <w:abstractNumId w:val="16"/>
  </w:num>
  <w:num w:numId="33">
    <w:abstractNumId w:val="33"/>
  </w:num>
  <w:num w:numId="34">
    <w:abstractNumId w:val="24"/>
  </w:num>
  <w:num w:numId="35">
    <w:abstractNumId w:val="30"/>
  </w:num>
  <w:num w:numId="36">
    <w:abstractNumId w:val="40"/>
  </w:num>
  <w:num w:numId="37">
    <w:abstractNumId w:val="2"/>
  </w:num>
  <w:num w:numId="38">
    <w:abstractNumId w:val="20"/>
  </w:num>
  <w:num w:numId="39">
    <w:abstractNumId w:val="39"/>
  </w:num>
  <w:num w:numId="40">
    <w:abstractNumId w:val="2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80"/>
  <w:hyphenationZone w:val="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C6"/>
    <w:rsid w:val="00006068"/>
    <w:rsid w:val="00006223"/>
    <w:rsid w:val="000109F5"/>
    <w:rsid w:val="000157CD"/>
    <w:rsid w:val="00030DDA"/>
    <w:rsid w:val="000426AA"/>
    <w:rsid w:val="00043713"/>
    <w:rsid w:val="000446A5"/>
    <w:rsid w:val="000452BC"/>
    <w:rsid w:val="00050B07"/>
    <w:rsid w:val="00053ED7"/>
    <w:rsid w:val="00054A6C"/>
    <w:rsid w:val="0006416B"/>
    <w:rsid w:val="00064378"/>
    <w:rsid w:val="00083552"/>
    <w:rsid w:val="00084277"/>
    <w:rsid w:val="000845BA"/>
    <w:rsid w:val="000922EA"/>
    <w:rsid w:val="0009569A"/>
    <w:rsid w:val="000B0EC8"/>
    <w:rsid w:val="000B1834"/>
    <w:rsid w:val="000B2935"/>
    <w:rsid w:val="000B2E55"/>
    <w:rsid w:val="000B677C"/>
    <w:rsid w:val="000C6EDA"/>
    <w:rsid w:val="000D22AB"/>
    <w:rsid w:val="000E1011"/>
    <w:rsid w:val="000F58C6"/>
    <w:rsid w:val="001019BA"/>
    <w:rsid w:val="00101AF6"/>
    <w:rsid w:val="00111A00"/>
    <w:rsid w:val="00111E14"/>
    <w:rsid w:val="00112289"/>
    <w:rsid w:val="0011786B"/>
    <w:rsid w:val="00150ADA"/>
    <w:rsid w:val="001610B2"/>
    <w:rsid w:val="0017542E"/>
    <w:rsid w:val="00186025"/>
    <w:rsid w:val="00191EA7"/>
    <w:rsid w:val="00192C50"/>
    <w:rsid w:val="00194CDF"/>
    <w:rsid w:val="00196314"/>
    <w:rsid w:val="001D0D91"/>
    <w:rsid w:val="001D1B71"/>
    <w:rsid w:val="001E7FE1"/>
    <w:rsid w:val="002116C2"/>
    <w:rsid w:val="002206D5"/>
    <w:rsid w:val="00232671"/>
    <w:rsid w:val="00252DCE"/>
    <w:rsid w:val="00265273"/>
    <w:rsid w:val="00270A10"/>
    <w:rsid w:val="00284BC6"/>
    <w:rsid w:val="002857B3"/>
    <w:rsid w:val="0028699A"/>
    <w:rsid w:val="00292AEF"/>
    <w:rsid w:val="00297B86"/>
    <w:rsid w:val="002B3AD2"/>
    <w:rsid w:val="002B4DE4"/>
    <w:rsid w:val="002C3085"/>
    <w:rsid w:val="002E4FDE"/>
    <w:rsid w:val="00301813"/>
    <w:rsid w:val="00312090"/>
    <w:rsid w:val="00314CB2"/>
    <w:rsid w:val="00316C7D"/>
    <w:rsid w:val="00321F0F"/>
    <w:rsid w:val="00327BD8"/>
    <w:rsid w:val="0033043F"/>
    <w:rsid w:val="003341B7"/>
    <w:rsid w:val="0033540B"/>
    <w:rsid w:val="00342466"/>
    <w:rsid w:val="00342FF6"/>
    <w:rsid w:val="00343914"/>
    <w:rsid w:val="00344523"/>
    <w:rsid w:val="00364AB8"/>
    <w:rsid w:val="0037707D"/>
    <w:rsid w:val="00381591"/>
    <w:rsid w:val="00391160"/>
    <w:rsid w:val="00393162"/>
    <w:rsid w:val="00393D14"/>
    <w:rsid w:val="00397361"/>
    <w:rsid w:val="00397C50"/>
    <w:rsid w:val="00397E72"/>
    <w:rsid w:val="003A3D49"/>
    <w:rsid w:val="003A65C0"/>
    <w:rsid w:val="003C684A"/>
    <w:rsid w:val="003C731B"/>
    <w:rsid w:val="003E0AC7"/>
    <w:rsid w:val="003E4A4A"/>
    <w:rsid w:val="003F0148"/>
    <w:rsid w:val="003F347B"/>
    <w:rsid w:val="00401EB5"/>
    <w:rsid w:val="00422B78"/>
    <w:rsid w:val="00434BB9"/>
    <w:rsid w:val="0044349F"/>
    <w:rsid w:val="00455D00"/>
    <w:rsid w:val="00456F0F"/>
    <w:rsid w:val="00462BB4"/>
    <w:rsid w:val="00486D92"/>
    <w:rsid w:val="004953D3"/>
    <w:rsid w:val="004B1725"/>
    <w:rsid w:val="004B3E83"/>
    <w:rsid w:val="004C37D0"/>
    <w:rsid w:val="004E1205"/>
    <w:rsid w:val="004E4AFA"/>
    <w:rsid w:val="004E6033"/>
    <w:rsid w:val="004E649A"/>
    <w:rsid w:val="004F2C4F"/>
    <w:rsid w:val="004F68A1"/>
    <w:rsid w:val="00500204"/>
    <w:rsid w:val="00515D06"/>
    <w:rsid w:val="005162F8"/>
    <w:rsid w:val="00540986"/>
    <w:rsid w:val="0054513C"/>
    <w:rsid w:val="00545AD1"/>
    <w:rsid w:val="0055535D"/>
    <w:rsid w:val="005728DF"/>
    <w:rsid w:val="00574B43"/>
    <w:rsid w:val="005778B2"/>
    <w:rsid w:val="0058080A"/>
    <w:rsid w:val="00583144"/>
    <w:rsid w:val="005909B0"/>
    <w:rsid w:val="00597428"/>
    <w:rsid w:val="005B2D72"/>
    <w:rsid w:val="005B326B"/>
    <w:rsid w:val="005B3F4C"/>
    <w:rsid w:val="005B54BA"/>
    <w:rsid w:val="006028E8"/>
    <w:rsid w:val="00607D31"/>
    <w:rsid w:val="00625139"/>
    <w:rsid w:val="006330FF"/>
    <w:rsid w:val="00641EF3"/>
    <w:rsid w:val="00642DCB"/>
    <w:rsid w:val="0064782B"/>
    <w:rsid w:val="00664767"/>
    <w:rsid w:val="00664ACE"/>
    <w:rsid w:val="0068011A"/>
    <w:rsid w:val="00687875"/>
    <w:rsid w:val="006A5390"/>
    <w:rsid w:val="006A5F06"/>
    <w:rsid w:val="006B3B18"/>
    <w:rsid w:val="006B4573"/>
    <w:rsid w:val="006C60BC"/>
    <w:rsid w:val="006C7A9A"/>
    <w:rsid w:val="006D699E"/>
    <w:rsid w:val="006E05DD"/>
    <w:rsid w:val="006E0BB4"/>
    <w:rsid w:val="006E473A"/>
    <w:rsid w:val="006E7733"/>
    <w:rsid w:val="006F46F7"/>
    <w:rsid w:val="007058EE"/>
    <w:rsid w:val="00707B1A"/>
    <w:rsid w:val="007144FB"/>
    <w:rsid w:val="00717DF5"/>
    <w:rsid w:val="0072440A"/>
    <w:rsid w:val="0073214C"/>
    <w:rsid w:val="007639ED"/>
    <w:rsid w:val="00784CCC"/>
    <w:rsid w:val="0078639A"/>
    <w:rsid w:val="00794D8E"/>
    <w:rsid w:val="007963E1"/>
    <w:rsid w:val="007A6263"/>
    <w:rsid w:val="007C126F"/>
    <w:rsid w:val="007C4469"/>
    <w:rsid w:val="007D17B3"/>
    <w:rsid w:val="007D4647"/>
    <w:rsid w:val="007D470B"/>
    <w:rsid w:val="007D5458"/>
    <w:rsid w:val="007D587D"/>
    <w:rsid w:val="007E2D39"/>
    <w:rsid w:val="007E3E8D"/>
    <w:rsid w:val="007F162D"/>
    <w:rsid w:val="00800A08"/>
    <w:rsid w:val="0081283E"/>
    <w:rsid w:val="0081362A"/>
    <w:rsid w:val="00814AF4"/>
    <w:rsid w:val="0082524E"/>
    <w:rsid w:val="0084174C"/>
    <w:rsid w:val="00842A3E"/>
    <w:rsid w:val="00843A92"/>
    <w:rsid w:val="00843CDC"/>
    <w:rsid w:val="00846490"/>
    <w:rsid w:val="008539EE"/>
    <w:rsid w:val="00855718"/>
    <w:rsid w:val="00855A5F"/>
    <w:rsid w:val="008639E1"/>
    <w:rsid w:val="008732A7"/>
    <w:rsid w:val="0089355C"/>
    <w:rsid w:val="008A0AED"/>
    <w:rsid w:val="008C129F"/>
    <w:rsid w:val="008D60A7"/>
    <w:rsid w:val="008E54C4"/>
    <w:rsid w:val="008F32E5"/>
    <w:rsid w:val="008F58A9"/>
    <w:rsid w:val="0091108C"/>
    <w:rsid w:val="009165BC"/>
    <w:rsid w:val="00920730"/>
    <w:rsid w:val="0092169E"/>
    <w:rsid w:val="009459D1"/>
    <w:rsid w:val="00971C68"/>
    <w:rsid w:val="00974172"/>
    <w:rsid w:val="009806E3"/>
    <w:rsid w:val="00981F9E"/>
    <w:rsid w:val="00982982"/>
    <w:rsid w:val="009A144C"/>
    <w:rsid w:val="009A19F8"/>
    <w:rsid w:val="009B1E6F"/>
    <w:rsid w:val="009B2F8B"/>
    <w:rsid w:val="009B4E50"/>
    <w:rsid w:val="009B776C"/>
    <w:rsid w:val="009D2ADB"/>
    <w:rsid w:val="009D3F29"/>
    <w:rsid w:val="009D77CE"/>
    <w:rsid w:val="009E05B0"/>
    <w:rsid w:val="009F075F"/>
    <w:rsid w:val="009F0CF0"/>
    <w:rsid w:val="00A00D28"/>
    <w:rsid w:val="00A0430B"/>
    <w:rsid w:val="00A065D0"/>
    <w:rsid w:val="00A2603F"/>
    <w:rsid w:val="00A26B35"/>
    <w:rsid w:val="00A51368"/>
    <w:rsid w:val="00A537FB"/>
    <w:rsid w:val="00A61211"/>
    <w:rsid w:val="00A959E7"/>
    <w:rsid w:val="00AA0F16"/>
    <w:rsid w:val="00AA4DE8"/>
    <w:rsid w:val="00AA5C3B"/>
    <w:rsid w:val="00AC4F4B"/>
    <w:rsid w:val="00AF1A8B"/>
    <w:rsid w:val="00AF7498"/>
    <w:rsid w:val="00B00F80"/>
    <w:rsid w:val="00B40833"/>
    <w:rsid w:val="00B524DE"/>
    <w:rsid w:val="00B831A5"/>
    <w:rsid w:val="00B873DA"/>
    <w:rsid w:val="00B95AB0"/>
    <w:rsid w:val="00BA7BAE"/>
    <w:rsid w:val="00BB6D66"/>
    <w:rsid w:val="00BC34FF"/>
    <w:rsid w:val="00BD2EB9"/>
    <w:rsid w:val="00BE3F08"/>
    <w:rsid w:val="00BF207E"/>
    <w:rsid w:val="00BF4E3D"/>
    <w:rsid w:val="00C179F9"/>
    <w:rsid w:val="00C23053"/>
    <w:rsid w:val="00C42ABC"/>
    <w:rsid w:val="00C50039"/>
    <w:rsid w:val="00C532D1"/>
    <w:rsid w:val="00C5732D"/>
    <w:rsid w:val="00C57515"/>
    <w:rsid w:val="00C715B8"/>
    <w:rsid w:val="00C7268A"/>
    <w:rsid w:val="00C82B81"/>
    <w:rsid w:val="00C851A3"/>
    <w:rsid w:val="00CA3DA6"/>
    <w:rsid w:val="00CB4CC0"/>
    <w:rsid w:val="00CB53D8"/>
    <w:rsid w:val="00CC3916"/>
    <w:rsid w:val="00CC736B"/>
    <w:rsid w:val="00CD5606"/>
    <w:rsid w:val="00CE3368"/>
    <w:rsid w:val="00CE3F14"/>
    <w:rsid w:val="00CE61C9"/>
    <w:rsid w:val="00CF3D07"/>
    <w:rsid w:val="00CF63DB"/>
    <w:rsid w:val="00D06185"/>
    <w:rsid w:val="00D07E12"/>
    <w:rsid w:val="00D15074"/>
    <w:rsid w:val="00D300A5"/>
    <w:rsid w:val="00D30FCC"/>
    <w:rsid w:val="00D36FF7"/>
    <w:rsid w:val="00D42E0C"/>
    <w:rsid w:val="00D479DF"/>
    <w:rsid w:val="00D565E7"/>
    <w:rsid w:val="00D569A0"/>
    <w:rsid w:val="00D56BCB"/>
    <w:rsid w:val="00D64ACF"/>
    <w:rsid w:val="00D66A07"/>
    <w:rsid w:val="00D9784C"/>
    <w:rsid w:val="00DA37D8"/>
    <w:rsid w:val="00DA7170"/>
    <w:rsid w:val="00DB797B"/>
    <w:rsid w:val="00DC52C4"/>
    <w:rsid w:val="00DD03EA"/>
    <w:rsid w:val="00DE3EA6"/>
    <w:rsid w:val="00DF64C2"/>
    <w:rsid w:val="00E30712"/>
    <w:rsid w:val="00E632F4"/>
    <w:rsid w:val="00E647C2"/>
    <w:rsid w:val="00E74EC2"/>
    <w:rsid w:val="00E77929"/>
    <w:rsid w:val="00E8179F"/>
    <w:rsid w:val="00E844F4"/>
    <w:rsid w:val="00EA139F"/>
    <w:rsid w:val="00EB680F"/>
    <w:rsid w:val="00EC729A"/>
    <w:rsid w:val="00ED26C5"/>
    <w:rsid w:val="00ED35AF"/>
    <w:rsid w:val="00ED4F17"/>
    <w:rsid w:val="00ED6151"/>
    <w:rsid w:val="00ED787B"/>
    <w:rsid w:val="00EE5313"/>
    <w:rsid w:val="00F03676"/>
    <w:rsid w:val="00F14097"/>
    <w:rsid w:val="00F20A6F"/>
    <w:rsid w:val="00F332E6"/>
    <w:rsid w:val="00F44F46"/>
    <w:rsid w:val="00F6104A"/>
    <w:rsid w:val="00F736D7"/>
    <w:rsid w:val="00FA2858"/>
    <w:rsid w:val="00FA58D0"/>
    <w:rsid w:val="00FB36DB"/>
    <w:rsid w:val="00FB5976"/>
    <w:rsid w:val="00FC2D48"/>
    <w:rsid w:val="00FC6D96"/>
    <w:rsid w:val="00FC7AEA"/>
    <w:rsid w:val="00FD307D"/>
    <w:rsid w:val="00FE5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DEA55"/>
  <w15:docId w15:val="{FB0219F1-4428-462F-9EED-38BEBB7B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Palatino" w:hAnsi="Palatino"/>
      <w:sz w:val="24"/>
      <w:szCs w:val="24"/>
    </w:rPr>
  </w:style>
  <w:style w:type="paragraph" w:styleId="Heading1">
    <w:name w:val="heading 1"/>
    <w:basedOn w:val="heading10"/>
    <w:next w:val="Normal"/>
    <w:qFormat/>
    <w:pPr>
      <w:keepLines w:val="0"/>
      <w:framePr w:w="10980" w:wrap="auto"/>
      <w:ind w:left="2880" w:right="0" w:hanging="2160"/>
      <w:outlineLvl w:val="0"/>
    </w:pPr>
    <w:rPr>
      <w:sz w:val="28"/>
      <w:szCs w:val="28"/>
    </w:rPr>
  </w:style>
  <w:style w:type="paragraph" w:styleId="Heading2">
    <w:name w:val="heading 2"/>
    <w:basedOn w:val="heading20"/>
    <w:next w:val="Normal"/>
    <w:qFormat/>
    <w:pPr>
      <w:keepNext/>
      <w:keepLines/>
      <w:framePr w:w="10980" w:wrap="auto"/>
      <w:pBdr>
        <w:top w:val="single" w:sz="12" w:space="0" w:color="auto"/>
      </w:pBdr>
      <w:spacing w:before="240" w:line="480" w:lineRule="atLeast"/>
      <w:ind w:right="0"/>
      <w:outlineLvl w:val="1"/>
    </w:pPr>
    <w:rPr>
      <w:color w:val="FF0000"/>
      <w:sz w:val="24"/>
      <w:szCs w:val="24"/>
    </w:rPr>
  </w:style>
  <w:style w:type="paragraph" w:styleId="Heading3">
    <w:name w:val="heading 3"/>
    <w:basedOn w:val="Normal"/>
    <w:next w:val="Normal"/>
    <w:qFormat/>
    <w:pPr>
      <w:keepNext/>
      <w:spacing w:before="240"/>
      <w:outlineLvl w:val="2"/>
    </w:pPr>
    <w:rPr>
      <w:b/>
      <w:bCs/>
      <w:color w:val="FF0000"/>
    </w:rPr>
  </w:style>
  <w:style w:type="paragraph" w:styleId="Heading4">
    <w:name w:val="heading 4"/>
    <w:basedOn w:val="Normal"/>
    <w:next w:val="Normal"/>
    <w:qFormat/>
    <w:pPr>
      <w:keepNext/>
      <w:keepLines/>
      <w:spacing w:before="240"/>
      <w:jc w:val="center"/>
      <w:outlineLvl w:val="3"/>
    </w:pPr>
    <w:rPr>
      <w:b/>
      <w:bCs/>
      <w:smallCaps/>
      <w:color w:val="FF0000"/>
      <w:sz w:val="20"/>
      <w:szCs w:val="20"/>
    </w:rPr>
  </w:style>
  <w:style w:type="paragraph" w:styleId="Heading5">
    <w:name w:val="heading 5"/>
    <w:basedOn w:val="heading50"/>
    <w:next w:val="Normal"/>
    <w:qFormat/>
    <w:pPr>
      <w:keepLines/>
      <w:framePr w:w="2304" w:hSpace="144" w:vSpace="144" w:wrap="auto" w:hAnchor="page"/>
      <w:spacing w:before="0"/>
      <w:outlineLvl w:val="4"/>
    </w:pPr>
    <w:rPr>
      <w:color w:val="FF0000"/>
    </w:rPr>
  </w:style>
  <w:style w:type="paragraph" w:styleId="Heading6">
    <w:name w:val="heading 6"/>
    <w:basedOn w:val="heading60"/>
    <w:next w:val="Normal"/>
    <w:qFormat/>
    <w:pPr>
      <w:framePr w:wrap="auto"/>
      <w:outlineLvl w:val="5"/>
    </w:pPr>
  </w:style>
  <w:style w:type="paragraph" w:styleId="Heading7">
    <w:name w:val="heading 7"/>
    <w:basedOn w:val="Heading6"/>
    <w:next w:val="Normal"/>
    <w:qFormat/>
    <w:pPr>
      <w:framePr w:w="10080" w:wrap="auto"/>
      <w:pBdr>
        <w:top w:val="double" w:sz="6" w:space="0" w:color="auto"/>
        <w:bottom w:val="single" w:sz="6" w:space="0" w:color="auto"/>
      </w:pBdr>
      <w:ind w:left="2960" w:hanging="2240"/>
      <w:outlineLvl w:val="6"/>
    </w:pPr>
    <w:rPr>
      <w:rFonts w:ascii="Times" w:hAnsi="Times"/>
      <w:color w:val="FF00FF"/>
      <w:sz w:val="28"/>
      <w:szCs w:val="28"/>
    </w:rPr>
  </w:style>
  <w:style w:type="paragraph" w:styleId="Heading8">
    <w:name w:val="heading 8"/>
    <w:basedOn w:val="Normal"/>
    <w:next w:val="Normal"/>
    <w:qFormat/>
    <w:pPr>
      <w:ind w:left="720"/>
      <w:outlineLvl w:val="7"/>
    </w:pPr>
    <w:rPr>
      <w:i/>
      <w:iCs/>
      <w:sz w:val="20"/>
      <w:szCs w:val="20"/>
    </w:rPr>
  </w:style>
  <w:style w:type="paragraph" w:styleId="Heading9">
    <w:name w:val="heading 9"/>
    <w:basedOn w:val="Normal"/>
    <w:next w:val="Normal"/>
    <w:qFormat/>
    <w:pPr>
      <w:ind w:left="72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 1"/>
    <w:basedOn w:val="Exhibitheading"/>
    <w:pPr>
      <w:framePr w:wrap="auto"/>
      <w:spacing w:before="240" w:line="480" w:lineRule="atLeast"/>
      <w:jc w:val="left"/>
    </w:pPr>
    <w:rPr>
      <w:b/>
      <w:bCs/>
      <w:color w:val="FF00FF"/>
      <w:sz w:val="48"/>
      <w:szCs w:val="48"/>
    </w:rPr>
  </w:style>
  <w:style w:type="paragraph" w:customStyle="1" w:styleId="Exhibitheading">
    <w:name w:val="Exhibit heading"/>
    <w:basedOn w:val="Exhibittitle"/>
    <w:pPr>
      <w:framePr w:wrap="auto"/>
      <w:pBdr>
        <w:top w:val="single" w:sz="6" w:space="0" w:color="auto"/>
        <w:bottom w:val="double" w:sz="6" w:space="0" w:color="auto"/>
      </w:pBdr>
      <w:jc w:val="center"/>
    </w:pPr>
    <w:rPr>
      <w:caps/>
    </w:rPr>
  </w:style>
  <w:style w:type="paragraph" w:customStyle="1" w:styleId="Exhibittitle">
    <w:name w:val="Exhibit title"/>
    <w:basedOn w:val="Exhibit"/>
    <w:pPr>
      <w:framePr w:wrap="auto"/>
      <w:tabs>
        <w:tab w:val="clear" w:pos="980"/>
        <w:tab w:val="clear" w:pos="1880"/>
        <w:tab w:val="clear" w:pos="7920"/>
        <w:tab w:val="clear" w:pos="8820"/>
        <w:tab w:val="clear" w:pos="9720"/>
        <w:tab w:val="center" w:pos="8540"/>
        <w:tab w:val="center" w:pos="9540"/>
      </w:tabs>
    </w:pPr>
  </w:style>
  <w:style w:type="paragraph" w:customStyle="1" w:styleId="Exhibit">
    <w:name w:val="Exhibit"/>
    <w:aliases w:val="e"/>
    <w:basedOn w:val="Situation"/>
    <w:pPr>
      <w:framePr w:w="10080" w:hSpace="180" w:vSpace="180" w:wrap="auto" w:hAnchor="page"/>
      <w:tabs>
        <w:tab w:val="clear" w:pos="720"/>
        <w:tab w:val="clear" w:pos="1800"/>
        <w:tab w:val="clear" w:pos="6120"/>
        <w:tab w:val="clear" w:pos="7280"/>
        <w:tab w:val="clear" w:pos="7460"/>
        <w:tab w:val="clear" w:pos="7740"/>
        <w:tab w:val="clear" w:pos="8180"/>
        <w:tab w:val="clear" w:pos="9180"/>
        <w:tab w:val="left" w:pos="980"/>
        <w:tab w:val="left" w:pos="1880"/>
        <w:tab w:val="decimal" w:leader="dot" w:pos="7920"/>
        <w:tab w:val="decimal" w:pos="8820"/>
        <w:tab w:val="decimal" w:pos="9720"/>
      </w:tabs>
      <w:ind w:left="720" w:right="2160"/>
    </w:pPr>
  </w:style>
  <w:style w:type="paragraph" w:customStyle="1" w:styleId="Situation">
    <w:name w:val="Situation"/>
    <w:aliases w:val="s"/>
    <w:basedOn w:val="Entry"/>
    <w:pPr>
      <w:pBdr>
        <w:top w:val="none" w:sz="0" w:space="0" w:color="auto"/>
        <w:left w:val="none" w:sz="0" w:space="0" w:color="auto"/>
        <w:bottom w:val="none" w:sz="0" w:space="0" w:color="auto"/>
        <w:right w:val="none" w:sz="0" w:space="0" w:color="auto"/>
      </w:pBdr>
      <w:tabs>
        <w:tab w:val="clear" w:pos="5300"/>
        <w:tab w:val="clear" w:pos="6740"/>
        <w:tab w:val="left" w:pos="1800"/>
        <w:tab w:val="decimal" w:leader="dot" w:pos="7280"/>
        <w:tab w:val="decimal" w:pos="7460"/>
        <w:tab w:val="decimal" w:pos="7740"/>
        <w:tab w:val="decimal" w:pos="8180"/>
        <w:tab w:val="decimal" w:pos="9180"/>
      </w:tabs>
      <w:ind w:left="540" w:right="0"/>
    </w:pPr>
  </w:style>
  <w:style w:type="paragraph" w:customStyle="1" w:styleId="Entry">
    <w:name w:val="Entry"/>
    <w:basedOn w:val="Text"/>
    <w:pPr>
      <w:keepLines/>
      <w:pBdr>
        <w:top w:val="single" w:sz="6" w:space="15" w:color="auto" w:shadow="1"/>
        <w:left w:val="single" w:sz="6" w:space="15" w:color="auto" w:shadow="1"/>
        <w:bottom w:val="single" w:sz="6" w:space="15" w:color="auto" w:shadow="1"/>
        <w:right w:val="single" w:sz="6" w:space="15" w:color="auto" w:shadow="1"/>
      </w:pBdr>
      <w:tabs>
        <w:tab w:val="left" w:pos="720"/>
        <w:tab w:val="decimal" w:leader="dot" w:pos="5300"/>
        <w:tab w:val="decimal" w:pos="6120"/>
        <w:tab w:val="decimal" w:pos="6740"/>
      </w:tabs>
      <w:ind w:left="440" w:right="460" w:firstLine="0"/>
      <w:jc w:val="left"/>
    </w:pPr>
  </w:style>
  <w:style w:type="paragraph" w:customStyle="1" w:styleId="Text">
    <w:name w:val="Text"/>
    <w:basedOn w:val="Normal"/>
    <w:pPr>
      <w:ind w:firstLine="360"/>
      <w:jc w:val="both"/>
    </w:pPr>
    <w:rPr>
      <w:sz w:val="20"/>
      <w:szCs w:val="20"/>
    </w:rPr>
  </w:style>
  <w:style w:type="paragraph" w:customStyle="1" w:styleId="heading20">
    <w:name w:val="•heading 2"/>
    <w:basedOn w:val="Exhibitheading"/>
    <w:pPr>
      <w:keepLines w:val="0"/>
      <w:framePr w:wrap="auto"/>
      <w:pBdr>
        <w:top w:val="none" w:sz="0" w:space="0" w:color="auto"/>
        <w:bottom w:val="none" w:sz="0" w:space="0" w:color="auto"/>
      </w:pBdr>
      <w:jc w:val="left"/>
    </w:pPr>
    <w:rPr>
      <w:b/>
      <w:bCs/>
      <w:color w:val="0000FF"/>
      <w:sz w:val="28"/>
      <w:szCs w:val="28"/>
    </w:rPr>
  </w:style>
  <w:style w:type="paragraph" w:customStyle="1" w:styleId="heading50">
    <w:name w:val="•heading 5"/>
    <w:basedOn w:val="Heading3"/>
    <w:rPr>
      <w:color w:val="00FF00"/>
      <w:sz w:val="20"/>
      <w:szCs w:val="20"/>
    </w:rPr>
  </w:style>
  <w:style w:type="paragraph" w:customStyle="1" w:styleId="heading60">
    <w:name w:val="•heading 6"/>
    <w:basedOn w:val="Heading5"/>
    <w:pPr>
      <w:framePr w:wrap="auto"/>
    </w:pPr>
    <w:rPr>
      <w:color w:val="0000FF"/>
    </w:rPr>
  </w:style>
  <w:style w:type="paragraph" w:styleId="TOC7">
    <w:name w:val="toc 7"/>
    <w:basedOn w:val="Normal"/>
    <w:next w:val="Normal"/>
    <w:autoRedefine/>
    <w:semiHidden/>
    <w:pPr>
      <w:tabs>
        <w:tab w:val="left" w:leader="dot" w:pos="8280"/>
        <w:tab w:val="right" w:pos="8640"/>
      </w:tabs>
      <w:ind w:left="4320" w:right="720"/>
    </w:pPr>
  </w:style>
  <w:style w:type="paragraph" w:styleId="TOC6">
    <w:name w:val="toc 6"/>
    <w:basedOn w:val="Normal"/>
    <w:next w:val="Normal"/>
    <w:autoRedefine/>
    <w:semiHidden/>
    <w:pPr>
      <w:tabs>
        <w:tab w:val="left" w:leader="dot" w:pos="8280"/>
        <w:tab w:val="right" w:pos="8640"/>
      </w:tabs>
      <w:ind w:left="3600" w:right="720"/>
    </w:pPr>
  </w:style>
  <w:style w:type="paragraph" w:styleId="TOC5">
    <w:name w:val="toc 5"/>
    <w:basedOn w:val="Normal"/>
    <w:next w:val="Normal"/>
    <w:autoRedefine/>
    <w:semiHidden/>
    <w:pPr>
      <w:tabs>
        <w:tab w:val="right" w:pos="6740"/>
      </w:tabs>
      <w:ind w:left="1880" w:hanging="260"/>
    </w:pPr>
    <w:rPr>
      <w:color w:val="00FFFF"/>
      <w:sz w:val="20"/>
      <w:szCs w:val="20"/>
    </w:rPr>
  </w:style>
  <w:style w:type="paragraph" w:styleId="TOC4">
    <w:name w:val="toc 4"/>
    <w:basedOn w:val="Normal"/>
    <w:next w:val="Normal"/>
    <w:autoRedefine/>
    <w:semiHidden/>
    <w:pPr>
      <w:tabs>
        <w:tab w:val="right" w:pos="7200"/>
      </w:tabs>
      <w:ind w:left="1620" w:hanging="360"/>
    </w:pPr>
    <w:rPr>
      <w:smallCaps/>
      <w:color w:val="FF00FF"/>
    </w:rPr>
  </w:style>
  <w:style w:type="paragraph" w:styleId="TOC3">
    <w:name w:val="toc 3"/>
    <w:basedOn w:val="Normal"/>
    <w:next w:val="Normal"/>
    <w:autoRedefine/>
    <w:semiHidden/>
    <w:pPr>
      <w:tabs>
        <w:tab w:val="right" w:leader="dot" w:pos="7200"/>
      </w:tabs>
      <w:spacing w:line="360" w:lineRule="atLeast"/>
      <w:ind w:left="900" w:hanging="280"/>
    </w:pPr>
    <w:rPr>
      <w:color w:val="0000FF"/>
    </w:rPr>
  </w:style>
  <w:style w:type="paragraph" w:styleId="TOC2">
    <w:name w:val="toc 2"/>
    <w:basedOn w:val="Normal"/>
    <w:next w:val="Normal"/>
    <w:autoRedefine/>
    <w:semiHidden/>
    <w:pPr>
      <w:tabs>
        <w:tab w:val="right" w:leader="dot" w:pos="7200"/>
      </w:tabs>
      <w:ind w:left="720" w:hanging="280"/>
    </w:pPr>
    <w:rPr>
      <w:smallCaps/>
      <w:color w:val="FF0000"/>
    </w:rPr>
  </w:style>
  <w:style w:type="paragraph" w:styleId="TOC1">
    <w:name w:val="toc 1"/>
    <w:basedOn w:val="Normal"/>
    <w:next w:val="Normal"/>
    <w:autoRedefine/>
    <w:semiHidden/>
    <w:pPr>
      <w:tabs>
        <w:tab w:val="right" w:leader="dot" w:pos="7200"/>
      </w:tabs>
    </w:pPr>
    <w:rPr>
      <w:color w:val="00FF00"/>
    </w:rPr>
  </w:style>
  <w:style w:type="paragraph" w:styleId="Index2">
    <w:name w:val="index 2"/>
    <w:basedOn w:val="Normal"/>
    <w:next w:val="Normal"/>
    <w:autoRedefine/>
    <w:semiHidden/>
    <w:pPr>
      <w:ind w:left="360"/>
    </w:pPr>
  </w:style>
  <w:style w:type="paragraph" w:styleId="Index1">
    <w:name w:val="index 1"/>
    <w:basedOn w:val="Normal"/>
    <w:next w:val="Normal"/>
    <w:autoRedefine/>
    <w:semiHidden/>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pPr>
      <w:keepLines/>
      <w:ind w:left="80" w:hanging="100"/>
      <w:jc w:val="both"/>
    </w:pPr>
    <w:rPr>
      <w:sz w:val="18"/>
      <w:szCs w:val="18"/>
    </w:rPr>
  </w:style>
  <w:style w:type="character" w:styleId="PageNumber">
    <w:name w:val="page number"/>
    <w:basedOn w:val="DefaultParagraphFont"/>
  </w:style>
  <w:style w:type="paragraph" w:customStyle="1" w:styleId="Journalentry">
    <w:name w:val="Journal entry"/>
    <w:basedOn w:val="Normal"/>
    <w:pPr>
      <w:tabs>
        <w:tab w:val="left" w:pos="540"/>
        <w:tab w:val="left" w:pos="1080"/>
        <w:tab w:val="left" w:pos="1530"/>
        <w:tab w:val="left" w:pos="1980"/>
        <w:tab w:val="left" w:pos="2610"/>
        <w:tab w:val="right" w:pos="7920"/>
        <w:tab w:val="right" w:pos="8640"/>
      </w:tabs>
      <w:ind w:left="1530" w:hanging="1530"/>
      <w:jc w:val="both"/>
    </w:pPr>
    <w:rPr>
      <w:rFonts w:ascii="Helvetica" w:hAnsi="Helvetica"/>
      <w:sz w:val="20"/>
      <w:szCs w:val="20"/>
    </w:rPr>
  </w:style>
  <w:style w:type="paragraph" w:styleId="Title">
    <w:name w:val="Title"/>
    <w:aliases w:val="t"/>
    <w:basedOn w:val="Normal"/>
    <w:qFormat/>
    <w:pPr>
      <w:jc w:val="right"/>
    </w:pPr>
    <w:rPr>
      <w:rFonts w:ascii="Helvetica" w:hAnsi="Helvetica"/>
      <w:b/>
      <w:bCs/>
    </w:rPr>
  </w:style>
  <w:style w:type="paragraph" w:customStyle="1" w:styleId="MC">
    <w:name w:val="MC"/>
    <w:basedOn w:val="Normal"/>
    <w:pPr>
      <w:tabs>
        <w:tab w:val="left" w:pos="540"/>
        <w:tab w:val="decimal" w:pos="630"/>
        <w:tab w:val="left" w:pos="1080"/>
        <w:tab w:val="left" w:pos="1530"/>
        <w:tab w:val="right" w:pos="5400"/>
        <w:tab w:val="right" w:pos="8640"/>
      </w:tabs>
      <w:ind w:left="1080" w:hanging="1080"/>
    </w:pPr>
    <w:rPr>
      <w:rFonts w:ascii="Helvetica" w:hAnsi="Helvetica"/>
      <w:sz w:val="20"/>
      <w:szCs w:val="20"/>
    </w:rPr>
  </w:style>
  <w:style w:type="paragraph" w:customStyle="1" w:styleId="mc0">
    <w:name w:val="mc"/>
    <w:basedOn w:val="MC"/>
    <w:pPr>
      <w:tabs>
        <w:tab w:val="clear" w:pos="540"/>
        <w:tab w:val="clear" w:pos="1530"/>
        <w:tab w:val="left" w:pos="1440"/>
      </w:tabs>
    </w:pPr>
  </w:style>
  <w:style w:type="paragraph" w:customStyle="1" w:styleId="Variables">
    <w:name w:val="Variables"/>
    <w:basedOn w:val="Entry"/>
    <w:rPr>
      <w:b/>
      <w:bCs/>
      <w:color w:val="00FF00"/>
    </w:rPr>
  </w:style>
  <w:style w:type="paragraph" w:customStyle="1" w:styleId="tf">
    <w:name w:val="tf"/>
    <w:basedOn w:val="Normal"/>
    <w:pPr>
      <w:tabs>
        <w:tab w:val="left" w:pos="540"/>
        <w:tab w:val="decimal" w:pos="1800"/>
        <w:tab w:val="left" w:pos="2250"/>
        <w:tab w:val="decimal" w:pos="3510"/>
        <w:tab w:val="left" w:pos="3960"/>
        <w:tab w:val="decimal" w:pos="5220"/>
        <w:tab w:val="left" w:pos="5670"/>
        <w:tab w:val="decimal" w:pos="6930"/>
        <w:tab w:val="left" w:pos="7380"/>
      </w:tabs>
    </w:pPr>
    <w:rPr>
      <w:rFonts w:ascii="Helvetica" w:hAnsi="Helvetica"/>
      <w:sz w:val="20"/>
      <w:szCs w:val="20"/>
    </w:rPr>
  </w:style>
  <w:style w:type="paragraph" w:customStyle="1" w:styleId="True-False">
    <w:name w:val="True- False"/>
    <w:basedOn w:val="Normal"/>
    <w:pPr>
      <w:tabs>
        <w:tab w:val="left" w:pos="540"/>
        <w:tab w:val="decimal" w:pos="1440"/>
        <w:tab w:val="left" w:pos="1620"/>
        <w:tab w:val="right" w:pos="9720"/>
      </w:tabs>
      <w:ind w:left="1620" w:hanging="1620"/>
      <w:jc w:val="both"/>
    </w:pPr>
    <w:rPr>
      <w:rFonts w:ascii="Helvetica" w:hAnsi="Helvetica"/>
      <w:sz w:val="20"/>
      <w:szCs w:val="20"/>
    </w:rPr>
  </w:style>
  <w:style w:type="paragraph" w:customStyle="1" w:styleId="MultipleChoice">
    <w:name w:val="Multiple Choice"/>
    <w:basedOn w:val="mc0"/>
    <w:pPr>
      <w:tabs>
        <w:tab w:val="clear" w:pos="630"/>
        <w:tab w:val="clear" w:pos="1440"/>
        <w:tab w:val="decimal" w:pos="720"/>
        <w:tab w:val="decimal" w:pos="2340"/>
      </w:tabs>
    </w:pPr>
  </w:style>
  <w:style w:type="paragraph" w:customStyle="1" w:styleId="Headings">
    <w:name w:val="Headings"/>
    <w:aliases w:val="h"/>
    <w:basedOn w:val="Normal"/>
    <w:rPr>
      <w:rFonts w:ascii="Helvetica" w:hAnsi="Helvetica"/>
      <w:b/>
      <w:bCs/>
      <w:sz w:val="28"/>
      <w:szCs w:val="28"/>
    </w:rPr>
  </w:style>
  <w:style w:type="paragraph" w:customStyle="1" w:styleId="bi">
    <w:name w:val="bi"/>
    <w:basedOn w:val="Normal"/>
    <w:pPr>
      <w:pBdr>
        <w:top w:val="single" w:sz="6" w:space="0" w:color="auto" w:shadow="1"/>
        <w:left w:val="single" w:sz="6" w:space="0" w:color="auto" w:shadow="1"/>
        <w:bottom w:val="single" w:sz="6" w:space="0" w:color="auto" w:shadow="1"/>
        <w:right w:val="single" w:sz="6" w:space="0" w:color="auto" w:shadow="1"/>
        <w:between w:val="single" w:sz="6" w:space="0" w:color="auto"/>
      </w:pBdr>
      <w:tabs>
        <w:tab w:val="left" w:pos="3240"/>
        <w:tab w:val="left" w:pos="4500"/>
        <w:tab w:val="left" w:pos="4860"/>
        <w:tab w:val="decimal" w:pos="9360"/>
        <w:tab w:val="decimal" w:pos="9720"/>
      </w:tabs>
      <w:spacing w:before="60" w:after="120"/>
      <w:ind w:left="2880" w:right="720"/>
      <w:jc w:val="both"/>
    </w:pPr>
    <w:rPr>
      <w:rFonts w:ascii="Helvetica" w:hAnsi="Helvetica"/>
    </w:rPr>
  </w:style>
  <w:style w:type="paragraph" w:customStyle="1" w:styleId="Illusration">
    <w:name w:val="Illusration"/>
    <w:basedOn w:val="Text"/>
    <w:pPr>
      <w:keepLines/>
      <w:ind w:left="260" w:right="120" w:hanging="180"/>
    </w:pPr>
  </w:style>
  <w:style w:type="paragraph" w:customStyle="1" w:styleId="Doubleentries">
    <w:name w:val="Double entries"/>
    <w:aliases w:val="de"/>
    <w:basedOn w:val="Normal"/>
    <w:pPr>
      <w:framePr w:w="10080" w:hSpace="180" w:vSpace="180" w:wrap="auto" w:hAnchor="page"/>
      <w:tabs>
        <w:tab w:val="left" w:pos="980"/>
        <w:tab w:val="decimal" w:pos="4860"/>
        <w:tab w:val="decimal" w:pos="5220"/>
        <w:tab w:val="left" w:pos="5580"/>
        <w:tab w:val="left" w:pos="5840"/>
        <w:tab w:val="decimal" w:pos="9720"/>
        <w:tab w:val="decimal" w:pos="10080"/>
      </w:tabs>
      <w:ind w:left="720"/>
      <w:jc w:val="both"/>
    </w:pPr>
  </w:style>
  <w:style w:type="paragraph" w:customStyle="1" w:styleId="Statementhead">
    <w:name w:val="Statement head"/>
    <w:aliases w:val="sh"/>
    <w:basedOn w:val="Text"/>
    <w:pPr>
      <w:framePr w:w="10080" w:hSpace="180" w:vSpace="180" w:wrap="auto" w:hAnchor="page"/>
      <w:pBdr>
        <w:bottom w:val="single" w:sz="6" w:space="0" w:color="auto"/>
      </w:pBdr>
      <w:tabs>
        <w:tab w:val="left" w:pos="1440"/>
        <w:tab w:val="center" w:pos="8100"/>
      </w:tabs>
      <w:ind w:firstLine="0"/>
    </w:pPr>
    <w:rPr>
      <w:b/>
      <w:bCs/>
    </w:rPr>
  </w:style>
  <w:style w:type="paragraph" w:customStyle="1" w:styleId="Plain">
    <w:name w:val="Plain"/>
    <w:basedOn w:val="Illusration"/>
    <w:pPr>
      <w:ind w:left="0" w:firstLine="0"/>
    </w:pPr>
  </w:style>
  <w:style w:type="paragraph" w:customStyle="1" w:styleId="statement">
    <w:name w:val="statement"/>
    <w:basedOn w:val="Text"/>
    <w:pPr>
      <w:tabs>
        <w:tab w:val="left" w:pos="-360"/>
        <w:tab w:val="left" w:pos="-80"/>
        <w:tab w:val="left" w:leader="dot" w:pos="5480"/>
        <w:tab w:val="decimal" w:pos="7560"/>
        <w:tab w:val="decimal" w:pos="7920"/>
        <w:tab w:val="decimal" w:pos="8720"/>
        <w:tab w:val="decimal" w:pos="8820"/>
      </w:tabs>
      <w:ind w:left="-800" w:firstLine="0"/>
      <w:jc w:val="left"/>
    </w:pPr>
    <w:rPr>
      <w:rFonts w:ascii="Helvetica" w:hAnsi="Helvetica"/>
    </w:rPr>
  </w:style>
  <w:style w:type="paragraph" w:customStyle="1" w:styleId="AdditionalConsideration">
    <w:name w:val="Additional Consideration"/>
    <w:aliases w:val="ac"/>
    <w:basedOn w:val="Text"/>
    <w:pPr>
      <w:pBdr>
        <w:top w:val="single" w:sz="6" w:space="0" w:color="auto" w:shadow="1"/>
        <w:left w:val="single" w:sz="6" w:space="0" w:color="auto" w:shadow="1"/>
        <w:bottom w:val="single" w:sz="6" w:space="0" w:color="auto" w:shadow="1"/>
        <w:right w:val="single" w:sz="6" w:space="0" w:color="auto" w:shadow="1"/>
      </w:pBdr>
      <w:shd w:val="pct10" w:color="auto" w:fill="auto"/>
      <w:tabs>
        <w:tab w:val="right" w:pos="3600"/>
      </w:tabs>
      <w:ind w:left="180" w:right="180"/>
    </w:pPr>
  </w:style>
  <w:style w:type="paragraph" w:styleId="List">
    <w:name w:val="List"/>
    <w:basedOn w:val="Text"/>
    <w:pPr>
      <w:ind w:left="360" w:hanging="360"/>
    </w:pPr>
    <w:rPr>
      <w:sz w:val="24"/>
      <w:szCs w:val="24"/>
    </w:rPr>
  </w:style>
  <w:style w:type="paragraph" w:customStyle="1" w:styleId="Comment">
    <w:name w:val="Comment"/>
    <w:aliases w:val="c"/>
    <w:basedOn w:val="Plain"/>
    <w:pPr>
      <w:keepNext/>
      <w:framePr w:w="2304" w:hSpace="140" w:vSpace="140" w:wrap="auto" w:hAnchor="page"/>
      <w:tabs>
        <w:tab w:val="left" w:pos="260"/>
      </w:tabs>
      <w:ind w:right="20"/>
      <w:jc w:val="left"/>
    </w:pPr>
    <w:rPr>
      <w:color w:val="0000FF"/>
      <w:sz w:val="16"/>
      <w:szCs w:val="16"/>
    </w:rPr>
  </w:style>
  <w:style w:type="paragraph" w:customStyle="1" w:styleId="Norm">
    <w:name w:val="Norm"/>
    <w:basedOn w:val="Normal"/>
    <w:pPr>
      <w:tabs>
        <w:tab w:val="right" w:leader="dot" w:pos="7020"/>
      </w:tabs>
      <w:ind w:right="-464" w:firstLine="1440"/>
    </w:pPr>
    <w:rPr>
      <w:rFonts w:ascii="Helvetica" w:hAnsi="Helvetica"/>
      <w:sz w:val="20"/>
      <w:szCs w:val="20"/>
    </w:rPr>
  </w:style>
  <w:style w:type="paragraph" w:customStyle="1" w:styleId="Helvetica10point">
    <w:name w:val="Helvetica 10 point"/>
    <w:basedOn w:val="Normal"/>
    <w:rPr>
      <w:rFonts w:ascii="Helvetica" w:hAnsi="Helvetica"/>
      <w:sz w:val="20"/>
      <w:szCs w:val="20"/>
    </w:rPr>
  </w:style>
  <w:style w:type="paragraph" w:customStyle="1" w:styleId="m">
    <w:name w:val="m"/>
    <w:basedOn w:val="mc0"/>
    <w:pPr>
      <w:tabs>
        <w:tab w:val="clear" w:pos="630"/>
        <w:tab w:val="clear" w:pos="1440"/>
        <w:tab w:val="decimal" w:pos="720"/>
        <w:tab w:val="left" w:pos="1530"/>
      </w:tabs>
    </w:pPr>
  </w:style>
  <w:style w:type="paragraph" w:customStyle="1" w:styleId="normaltext">
    <w:name w:val="normal text"/>
    <w:aliases w:val="nt"/>
    <w:basedOn w:val="Normal"/>
    <w:pPr>
      <w:tabs>
        <w:tab w:val="left" w:pos="360"/>
      </w:tabs>
      <w:jc w:val="both"/>
    </w:pPr>
    <w:rPr>
      <w:rFonts w:ascii="Helvetica" w:hAnsi="Helvetica"/>
    </w:rPr>
  </w:style>
  <w:style w:type="paragraph" w:customStyle="1" w:styleId="Exercises">
    <w:name w:val="Exercises"/>
    <w:basedOn w:val="Comment"/>
    <w:pPr>
      <w:framePr w:wrap="auto"/>
    </w:pPr>
    <w:rPr>
      <w:b/>
      <w:bCs/>
      <w:color w:val="FF0000"/>
      <w:sz w:val="20"/>
      <w:szCs w:val="20"/>
    </w:rPr>
  </w:style>
  <w:style w:type="paragraph" w:customStyle="1" w:styleId="Exhibitlist">
    <w:name w:val="Exhibit list"/>
    <w:basedOn w:val="Exhibit"/>
    <w:pPr>
      <w:keepNext/>
      <w:framePr w:wrap="auto"/>
      <w:tabs>
        <w:tab w:val="clear" w:pos="980"/>
        <w:tab w:val="clear" w:pos="1880"/>
      </w:tabs>
      <w:ind w:left="2700" w:right="0" w:hanging="360"/>
      <w:jc w:val="both"/>
    </w:pPr>
  </w:style>
  <w:style w:type="paragraph" w:customStyle="1" w:styleId="Solutionentry">
    <w:name w:val="Solution entry"/>
    <w:basedOn w:val="Entry"/>
    <w:pPr>
      <w:keepNext/>
      <w:pBdr>
        <w:top w:val="none" w:sz="0" w:space="0" w:color="auto"/>
        <w:left w:val="none" w:sz="0" w:space="0" w:color="auto"/>
        <w:bottom w:val="none" w:sz="0" w:space="0" w:color="auto"/>
        <w:right w:val="none" w:sz="0" w:space="0" w:color="auto"/>
      </w:pBdr>
      <w:spacing w:before="240"/>
    </w:pPr>
  </w:style>
  <w:style w:type="paragraph" w:customStyle="1" w:styleId="dcnarrow-48pt">
    <w:name w:val="dc: narrow-48pt"/>
    <w:basedOn w:val="Normal"/>
    <w:pPr>
      <w:keepNext/>
      <w:framePr w:w="600" w:hSpace="180" w:vSpace="180" w:wrap="auto" w:hAnchor="text"/>
    </w:pPr>
    <w:rPr>
      <w:rFonts w:ascii="Avant Garde" w:hAnsi="Avant Garde"/>
      <w:sz w:val="96"/>
      <w:szCs w:val="96"/>
    </w:rPr>
  </w:style>
  <w:style w:type="paragraph" w:customStyle="1" w:styleId="dcwide-boxed-48pt">
    <w:name w:val="dc: wide-boxed-48pt"/>
    <w:basedOn w:val="Normal"/>
    <w:pPr>
      <w:keepNext/>
      <w:framePr w:w="1040" w:hSpace="180" w:vSpace="180" w:wrap="auto" w:hAnchor="text"/>
      <w:pBdr>
        <w:top w:val="double" w:sz="6" w:space="0" w:color="auto"/>
        <w:left w:val="double" w:sz="6" w:space="0" w:color="auto"/>
        <w:bottom w:val="double" w:sz="6" w:space="0" w:color="auto"/>
        <w:right w:val="double" w:sz="6" w:space="0" w:color="auto"/>
      </w:pBdr>
      <w:jc w:val="center"/>
    </w:pPr>
    <w:rPr>
      <w:rFonts w:ascii="Avant Garde" w:hAnsi="Avant Garde"/>
      <w:sz w:val="96"/>
      <w:szCs w:val="96"/>
    </w:rPr>
  </w:style>
  <w:style w:type="paragraph" w:customStyle="1" w:styleId="cells">
    <w:name w:val="cells"/>
    <w:basedOn w:val="Normal"/>
    <w:pPr>
      <w:jc w:val="right"/>
    </w:pPr>
    <w:rPr>
      <w:sz w:val="16"/>
      <w:szCs w:val="16"/>
    </w:rPr>
  </w:style>
  <w:style w:type="paragraph" w:customStyle="1" w:styleId="AmortSch">
    <w:name w:val="Amort.Sch."/>
    <w:basedOn w:val="Normal"/>
    <w:pPr>
      <w:keepNext/>
      <w:keepLines/>
      <w:pBdr>
        <w:left w:val="single" w:sz="6" w:space="15" w:color="auto"/>
        <w:bottom w:val="single" w:sz="6" w:space="15" w:color="auto"/>
        <w:right w:val="single" w:sz="6" w:space="15" w:color="auto"/>
      </w:pBdr>
      <w:tabs>
        <w:tab w:val="right" w:pos="1880"/>
        <w:tab w:val="right" w:pos="2780"/>
        <w:tab w:val="right" w:pos="3420"/>
        <w:tab w:val="right" w:pos="3600"/>
        <w:tab w:val="right" w:pos="4220"/>
        <w:tab w:val="right" w:pos="5220"/>
        <w:tab w:val="right" w:pos="5760"/>
        <w:tab w:val="right" w:pos="6660"/>
      </w:tabs>
      <w:spacing w:before="20"/>
      <w:ind w:left="540" w:right="540"/>
    </w:pPr>
    <w:rPr>
      <w:rFonts w:ascii="Helvetica" w:hAnsi="Helvetica"/>
      <w:sz w:val="18"/>
      <w:szCs w:val="18"/>
    </w:rPr>
  </w:style>
  <w:style w:type="paragraph" w:customStyle="1" w:styleId="AmortSchHead">
    <w:name w:val="Amort. Sch.Head"/>
    <w:basedOn w:val="AmortSch"/>
    <w:pPr>
      <w:pBdr>
        <w:top w:val="single" w:sz="6" w:space="15" w:color="auto"/>
        <w:bottom w:val="none" w:sz="0" w:space="0" w:color="auto"/>
      </w:pBdr>
      <w:tabs>
        <w:tab w:val="clear" w:pos="1880"/>
        <w:tab w:val="clear" w:pos="3420"/>
        <w:tab w:val="clear" w:pos="3600"/>
        <w:tab w:val="clear" w:pos="4220"/>
        <w:tab w:val="clear" w:pos="5220"/>
        <w:tab w:val="clear" w:pos="5760"/>
        <w:tab w:val="clear" w:pos="6660"/>
        <w:tab w:val="center" w:pos="980"/>
        <w:tab w:val="center" w:pos="1620"/>
        <w:tab w:val="center" w:pos="3320"/>
        <w:tab w:val="center" w:pos="5040"/>
        <w:tab w:val="center" w:pos="6200"/>
      </w:tabs>
    </w:pPr>
    <w:rPr>
      <w:b/>
      <w:bCs/>
      <w:color w:val="FF0000"/>
      <w:sz w:val="14"/>
      <w:szCs w:val="14"/>
    </w:rPr>
  </w:style>
  <w:style w:type="paragraph" w:customStyle="1" w:styleId="Entry000s">
    <w:name w:val="Entry(000s)"/>
    <w:basedOn w:val="Entry"/>
    <w:pPr>
      <w:tabs>
        <w:tab w:val="clear" w:pos="6120"/>
        <w:tab w:val="decimal" w:leader="dot" w:pos="5040"/>
        <w:tab w:val="decimal" w:pos="5940"/>
      </w:tabs>
    </w:pPr>
  </w:style>
  <w:style w:type="paragraph" w:customStyle="1" w:styleId="Price">
    <w:name w:val="Price"/>
    <w:basedOn w:val="Normal"/>
    <w:pPr>
      <w:pBdr>
        <w:top w:val="single" w:sz="6" w:space="5" w:color="auto" w:shadow="1"/>
        <w:left w:val="single" w:sz="6" w:space="5" w:color="auto" w:shadow="1"/>
        <w:bottom w:val="single" w:sz="6" w:space="5" w:color="auto" w:shadow="1"/>
        <w:right w:val="single" w:sz="6" w:space="5" w:color="auto" w:shadow="1"/>
      </w:pBdr>
      <w:tabs>
        <w:tab w:val="right" w:pos="2960"/>
        <w:tab w:val="left" w:pos="3140"/>
        <w:tab w:val="right" w:pos="5480"/>
        <w:tab w:val="left" w:pos="5660"/>
        <w:tab w:val="right" w:pos="6840"/>
      </w:tabs>
      <w:ind w:left="440"/>
    </w:pPr>
  </w:style>
  <w:style w:type="paragraph" w:customStyle="1" w:styleId="Quote1">
    <w:name w:val="Quote1"/>
    <w:basedOn w:val="Text"/>
    <w:pPr>
      <w:keepNext/>
      <w:keepLines/>
      <w:framePr w:w="2520" w:hSpace="180" w:vSpace="180" w:wrap="auto" w:hAnchor="text" w:xAlign="right"/>
      <w:pBdr>
        <w:top w:val="single" w:sz="2" w:space="0" w:color="auto"/>
        <w:left w:val="single" w:sz="2" w:space="0" w:color="auto"/>
        <w:bottom w:val="single" w:sz="2" w:space="0" w:color="auto"/>
        <w:right w:val="single" w:sz="2" w:space="0" w:color="auto"/>
      </w:pBdr>
      <w:shd w:val="pct10" w:color="auto" w:fill="auto"/>
      <w:spacing w:before="240"/>
      <w:ind w:right="100" w:firstLine="0"/>
      <w:jc w:val="center"/>
    </w:pPr>
    <w:rPr>
      <w:color w:val="FF00FF"/>
      <w:sz w:val="18"/>
      <w:szCs w:val="18"/>
    </w:rPr>
  </w:style>
  <w:style w:type="paragraph" w:customStyle="1" w:styleId="boxedinsert">
    <w:name w:val="boxed insert"/>
    <w:basedOn w:val="Quote1"/>
    <w:pPr>
      <w:framePr w:w="3960" w:wrap="auto"/>
      <w:pBdr>
        <w:top w:val="single" w:sz="6" w:space="0" w:color="auto"/>
        <w:left w:val="single" w:sz="6" w:space="0" w:color="auto"/>
        <w:bottom w:val="single" w:sz="6" w:space="0" w:color="auto"/>
        <w:right w:val="single" w:sz="6" w:space="0" w:color="auto"/>
      </w:pBdr>
      <w:tabs>
        <w:tab w:val="left" w:pos="180"/>
        <w:tab w:val="center" w:pos="2520"/>
        <w:tab w:val="center" w:pos="3420"/>
      </w:tabs>
      <w:ind w:right="180"/>
      <w:jc w:val="left"/>
    </w:pPr>
    <w:rPr>
      <w:rFonts w:ascii="Helvetica" w:hAnsi="Helvetica"/>
      <w:color w:val="000000"/>
    </w:rPr>
  </w:style>
  <w:style w:type="paragraph" w:customStyle="1" w:styleId="spreadsheetentry">
    <w:name w:val="spreadsheet entry"/>
    <w:basedOn w:val="Entry"/>
    <w:pPr>
      <w:tabs>
        <w:tab w:val="clear" w:pos="720"/>
        <w:tab w:val="left" w:pos="1440"/>
        <w:tab w:val="left" w:pos="1700"/>
      </w:tabs>
    </w:pPr>
  </w:style>
  <w:style w:type="paragraph" w:customStyle="1" w:styleId="Questions">
    <w:name w:val="Questions"/>
    <w:basedOn w:val="Text"/>
    <w:pPr>
      <w:spacing w:before="240" w:line="360" w:lineRule="atLeast"/>
    </w:pPr>
  </w:style>
  <w:style w:type="paragraph" w:customStyle="1" w:styleId="heading90">
    <w:name w:val="•heading 9"/>
    <w:basedOn w:val="Illusration"/>
    <w:pPr>
      <w:keepNext/>
    </w:pPr>
  </w:style>
  <w:style w:type="paragraph" w:customStyle="1" w:styleId="table3">
    <w:name w:val="table3"/>
    <w:pPr>
      <w:keepLines/>
      <w:suppressLineNumbers/>
      <w:tabs>
        <w:tab w:val="left" w:pos="420"/>
        <w:tab w:val="left" w:pos="740"/>
        <w:tab w:val="left" w:pos="4880"/>
      </w:tabs>
      <w:autoSpaceDE w:val="0"/>
      <w:autoSpaceDN w:val="0"/>
      <w:ind w:right="-20"/>
    </w:pPr>
    <w:rPr>
      <w:rFonts w:ascii="Times" w:hAnsi="Times"/>
      <w:sz w:val="18"/>
      <w:szCs w:val="18"/>
    </w:rPr>
  </w:style>
  <w:style w:type="paragraph" w:customStyle="1" w:styleId="table6">
    <w:name w:val="table6"/>
    <w:pPr>
      <w:keepLines/>
      <w:suppressLineNumbers/>
      <w:tabs>
        <w:tab w:val="left" w:pos="1380"/>
        <w:tab w:val="left" w:pos="5720"/>
        <w:tab w:val="decimal" w:pos="7740"/>
      </w:tabs>
      <w:autoSpaceDE w:val="0"/>
      <w:autoSpaceDN w:val="0"/>
    </w:pPr>
    <w:rPr>
      <w:rFonts w:ascii="Times" w:hAnsi="Times"/>
      <w:sz w:val="18"/>
      <w:szCs w:val="18"/>
    </w:rPr>
  </w:style>
  <w:style w:type="paragraph" w:customStyle="1" w:styleId="table8">
    <w:name w:val="table8"/>
    <w:pPr>
      <w:keepLines/>
      <w:suppressLineNumbers/>
      <w:tabs>
        <w:tab w:val="left" w:pos="860"/>
      </w:tabs>
      <w:autoSpaceDE w:val="0"/>
      <w:autoSpaceDN w:val="0"/>
    </w:pPr>
    <w:rPr>
      <w:rFonts w:ascii="Times" w:hAnsi="Times"/>
      <w:sz w:val="18"/>
      <w:szCs w:val="18"/>
    </w:rPr>
  </w:style>
  <w:style w:type="paragraph" w:customStyle="1" w:styleId="para10">
    <w:name w:val="para10"/>
    <w:pPr>
      <w:suppressLineNumbers/>
      <w:autoSpaceDE w:val="0"/>
      <w:autoSpaceDN w:val="0"/>
    </w:pPr>
    <w:rPr>
      <w:rFonts w:ascii="Times" w:hAnsi="Times"/>
      <w:sz w:val="18"/>
      <w:szCs w:val="18"/>
    </w:rPr>
  </w:style>
  <w:style w:type="paragraph" w:customStyle="1" w:styleId="para11">
    <w:name w:val="para11"/>
    <w:pPr>
      <w:suppressLineNumbers/>
      <w:autoSpaceDE w:val="0"/>
      <w:autoSpaceDN w:val="0"/>
      <w:ind w:firstLine="5660"/>
    </w:pPr>
    <w:rPr>
      <w:rFonts w:ascii="Times" w:hAnsi="Times"/>
      <w:sz w:val="18"/>
      <w:szCs w:val="18"/>
    </w:rPr>
  </w:style>
  <w:style w:type="paragraph" w:customStyle="1" w:styleId="para16">
    <w:name w:val="para16"/>
    <w:pPr>
      <w:suppressLineNumbers/>
      <w:tabs>
        <w:tab w:val="left" w:pos="800"/>
      </w:tabs>
      <w:autoSpaceDE w:val="0"/>
      <w:autoSpaceDN w:val="0"/>
      <w:ind w:left="800" w:hanging="340"/>
    </w:pPr>
    <w:rPr>
      <w:rFonts w:ascii="Times" w:hAnsi="Times"/>
      <w:sz w:val="18"/>
      <w:szCs w:val="18"/>
    </w:rPr>
  </w:style>
  <w:style w:type="paragraph" w:customStyle="1" w:styleId="para17">
    <w:name w:val="para17"/>
    <w:pPr>
      <w:suppressLineNumbers/>
      <w:autoSpaceDE w:val="0"/>
      <w:autoSpaceDN w:val="0"/>
      <w:ind w:firstLine="460"/>
    </w:pPr>
    <w:rPr>
      <w:rFonts w:ascii="Times" w:hAnsi="Times"/>
      <w:sz w:val="18"/>
      <w:szCs w:val="18"/>
    </w:rPr>
  </w:style>
  <w:style w:type="paragraph" w:customStyle="1" w:styleId="para36">
    <w:name w:val="para36"/>
    <w:pPr>
      <w:suppressLineNumbers/>
      <w:tabs>
        <w:tab w:val="left" w:pos="460"/>
      </w:tabs>
      <w:autoSpaceDE w:val="0"/>
      <w:autoSpaceDN w:val="0"/>
    </w:pPr>
    <w:rPr>
      <w:rFonts w:ascii="Times" w:hAnsi="Times"/>
      <w:sz w:val="18"/>
      <w:szCs w:val="18"/>
    </w:rPr>
  </w:style>
  <w:style w:type="paragraph" w:customStyle="1" w:styleId="table39">
    <w:name w:val="table39"/>
    <w:pPr>
      <w:keepLines/>
      <w:suppressLineNumbers/>
      <w:tabs>
        <w:tab w:val="left" w:pos="1080"/>
      </w:tabs>
      <w:autoSpaceDE w:val="0"/>
      <w:autoSpaceDN w:val="0"/>
    </w:pPr>
    <w:rPr>
      <w:rFonts w:ascii="Times" w:hAnsi="Times"/>
      <w:sz w:val="18"/>
      <w:szCs w:val="18"/>
    </w:rPr>
  </w:style>
  <w:style w:type="paragraph" w:customStyle="1" w:styleId="table154">
    <w:name w:val="table154"/>
    <w:pPr>
      <w:keepLines/>
      <w:suppressLineNumbers/>
      <w:tabs>
        <w:tab w:val="left" w:pos="4060"/>
      </w:tabs>
      <w:autoSpaceDE w:val="0"/>
      <w:autoSpaceDN w:val="0"/>
    </w:pPr>
    <w:rPr>
      <w:rFonts w:ascii="Times" w:hAnsi="Times"/>
      <w:sz w:val="18"/>
      <w:szCs w:val="18"/>
    </w:rPr>
  </w:style>
  <w:style w:type="paragraph" w:customStyle="1" w:styleId="table155">
    <w:name w:val="table155"/>
    <w:pPr>
      <w:keepLines/>
      <w:suppressLineNumbers/>
      <w:tabs>
        <w:tab w:val="left" w:pos="140"/>
        <w:tab w:val="decimal" w:pos="8000"/>
        <w:tab w:val="decimal" w:pos="8620"/>
      </w:tabs>
      <w:autoSpaceDE w:val="0"/>
      <w:autoSpaceDN w:val="0"/>
      <w:spacing w:line="480" w:lineRule="atLeast"/>
    </w:pPr>
    <w:rPr>
      <w:rFonts w:ascii="Times" w:hAnsi="Times"/>
      <w:sz w:val="18"/>
      <w:szCs w:val="18"/>
    </w:rPr>
  </w:style>
  <w:style w:type="paragraph" w:customStyle="1" w:styleId="table156">
    <w:name w:val="table156"/>
    <w:pPr>
      <w:keepLines/>
      <w:suppressLineNumbers/>
      <w:tabs>
        <w:tab w:val="decimal" w:pos="5880"/>
        <w:tab w:val="decimal" w:pos="6300"/>
        <w:tab w:val="decimal" w:pos="8000"/>
      </w:tabs>
      <w:autoSpaceDE w:val="0"/>
      <w:autoSpaceDN w:val="0"/>
    </w:pPr>
    <w:rPr>
      <w:rFonts w:ascii="Times" w:hAnsi="Times"/>
      <w:sz w:val="18"/>
      <w:szCs w:val="18"/>
    </w:rPr>
  </w:style>
  <w:style w:type="paragraph" w:customStyle="1" w:styleId="table157">
    <w:name w:val="table157"/>
    <w:pPr>
      <w:keepLines/>
      <w:suppressLineNumbers/>
      <w:tabs>
        <w:tab w:val="left" w:pos="4180"/>
      </w:tabs>
      <w:autoSpaceDE w:val="0"/>
      <w:autoSpaceDN w:val="0"/>
    </w:pPr>
    <w:rPr>
      <w:rFonts w:ascii="Times" w:hAnsi="Times"/>
      <w:sz w:val="18"/>
      <w:szCs w:val="18"/>
    </w:rPr>
  </w:style>
  <w:style w:type="paragraph" w:customStyle="1" w:styleId="para160">
    <w:name w:val="para160"/>
    <w:pPr>
      <w:suppressLineNumbers/>
      <w:autoSpaceDE w:val="0"/>
      <w:autoSpaceDN w:val="0"/>
      <w:ind w:left="4360" w:hanging="560"/>
    </w:pPr>
    <w:rPr>
      <w:rFonts w:ascii="Times" w:hAnsi="Times"/>
      <w:sz w:val="18"/>
      <w:szCs w:val="18"/>
    </w:rPr>
  </w:style>
  <w:style w:type="paragraph" w:customStyle="1" w:styleId="para107">
    <w:name w:val="para107"/>
    <w:pPr>
      <w:suppressLineNumbers/>
      <w:autoSpaceDE w:val="0"/>
      <w:autoSpaceDN w:val="0"/>
      <w:ind w:firstLine="700"/>
    </w:pPr>
    <w:rPr>
      <w:rFonts w:ascii="Times" w:hAnsi="Times"/>
      <w:sz w:val="18"/>
      <w:szCs w:val="18"/>
    </w:rPr>
  </w:style>
  <w:style w:type="paragraph" w:customStyle="1" w:styleId="cent159">
    <w:name w:val="cent159"/>
    <w:pPr>
      <w:suppressLineNumbers/>
      <w:autoSpaceDE w:val="0"/>
      <w:autoSpaceDN w:val="0"/>
      <w:jc w:val="center"/>
    </w:pPr>
    <w:rPr>
      <w:rFonts w:ascii="Times" w:hAnsi="Times"/>
      <w:sz w:val="18"/>
      <w:szCs w:val="18"/>
    </w:rPr>
  </w:style>
  <w:style w:type="paragraph" w:customStyle="1" w:styleId="table162">
    <w:name w:val="table162"/>
    <w:pPr>
      <w:keepLines/>
      <w:suppressLineNumbers/>
      <w:tabs>
        <w:tab w:val="left" w:pos="4260"/>
      </w:tabs>
      <w:autoSpaceDE w:val="0"/>
      <w:autoSpaceDN w:val="0"/>
    </w:pPr>
    <w:rPr>
      <w:rFonts w:ascii="Times" w:hAnsi="Times"/>
      <w:sz w:val="18"/>
      <w:szCs w:val="18"/>
    </w:rPr>
  </w:style>
  <w:style w:type="paragraph" w:customStyle="1" w:styleId="table163">
    <w:name w:val="table163"/>
    <w:pPr>
      <w:keepLines/>
      <w:suppressLineNumbers/>
      <w:tabs>
        <w:tab w:val="decimal" w:pos="8020"/>
        <w:tab w:val="decimal" w:pos="8580"/>
      </w:tabs>
      <w:autoSpaceDE w:val="0"/>
      <w:autoSpaceDN w:val="0"/>
      <w:spacing w:line="480" w:lineRule="atLeast"/>
    </w:pPr>
    <w:rPr>
      <w:rFonts w:ascii="Times" w:hAnsi="Times"/>
      <w:sz w:val="18"/>
      <w:szCs w:val="18"/>
    </w:rPr>
  </w:style>
  <w:style w:type="paragraph" w:customStyle="1" w:styleId="table164">
    <w:name w:val="table164"/>
    <w:pPr>
      <w:keepLines/>
      <w:suppressLineNumbers/>
      <w:tabs>
        <w:tab w:val="left" w:pos="540"/>
        <w:tab w:val="decimal" w:pos="6080"/>
        <w:tab w:val="decimal" w:pos="6980"/>
        <w:tab w:val="decimal" w:pos="8020"/>
      </w:tabs>
      <w:autoSpaceDE w:val="0"/>
      <w:autoSpaceDN w:val="0"/>
    </w:pPr>
    <w:rPr>
      <w:rFonts w:ascii="Times" w:hAnsi="Times"/>
      <w:sz w:val="18"/>
      <w:szCs w:val="18"/>
    </w:rPr>
  </w:style>
  <w:style w:type="paragraph" w:customStyle="1" w:styleId="table165">
    <w:name w:val="table165"/>
    <w:pPr>
      <w:keepLines/>
      <w:suppressLineNumbers/>
      <w:tabs>
        <w:tab w:val="left" w:pos="5680"/>
        <w:tab w:val="left" w:pos="6340"/>
        <w:tab w:val="left" w:pos="7260"/>
      </w:tabs>
      <w:autoSpaceDE w:val="0"/>
      <w:autoSpaceDN w:val="0"/>
    </w:pPr>
    <w:rPr>
      <w:rFonts w:ascii="Times" w:hAnsi="Times"/>
      <w:sz w:val="18"/>
      <w:szCs w:val="18"/>
    </w:rPr>
  </w:style>
  <w:style w:type="paragraph" w:customStyle="1" w:styleId="table166">
    <w:name w:val="table166"/>
    <w:pPr>
      <w:keepLines/>
      <w:suppressLineNumbers/>
      <w:tabs>
        <w:tab w:val="left" w:pos="820"/>
        <w:tab w:val="left" w:pos="7180"/>
        <w:tab w:val="decimal" w:pos="8020"/>
      </w:tabs>
      <w:autoSpaceDE w:val="0"/>
      <w:autoSpaceDN w:val="0"/>
    </w:pPr>
    <w:rPr>
      <w:rFonts w:ascii="Times" w:hAnsi="Times"/>
      <w:sz w:val="18"/>
      <w:szCs w:val="18"/>
    </w:rPr>
  </w:style>
  <w:style w:type="paragraph" w:customStyle="1" w:styleId="table167">
    <w:name w:val="table167"/>
    <w:pPr>
      <w:keepLines/>
      <w:suppressLineNumbers/>
      <w:tabs>
        <w:tab w:val="left" w:pos="620"/>
        <w:tab w:val="decimal" w:pos="8020"/>
      </w:tabs>
      <w:autoSpaceDE w:val="0"/>
      <w:autoSpaceDN w:val="0"/>
    </w:pPr>
    <w:rPr>
      <w:rFonts w:ascii="Times" w:hAnsi="Times"/>
      <w:sz w:val="18"/>
      <w:szCs w:val="18"/>
    </w:rPr>
  </w:style>
  <w:style w:type="paragraph" w:customStyle="1" w:styleId="table168">
    <w:name w:val="table168"/>
    <w:pPr>
      <w:keepLines/>
      <w:suppressLineNumbers/>
      <w:tabs>
        <w:tab w:val="left" w:pos="620"/>
        <w:tab w:val="left" w:pos="7180"/>
        <w:tab w:val="decimal" w:pos="8020"/>
        <w:tab w:val="decimal" w:pos="8580"/>
      </w:tabs>
      <w:autoSpaceDE w:val="0"/>
      <w:autoSpaceDN w:val="0"/>
      <w:spacing w:line="480" w:lineRule="atLeast"/>
    </w:pPr>
    <w:rPr>
      <w:rFonts w:ascii="Times" w:hAnsi="Times"/>
      <w:sz w:val="18"/>
      <w:szCs w:val="18"/>
    </w:rPr>
  </w:style>
  <w:style w:type="paragraph" w:customStyle="1" w:styleId="para170">
    <w:name w:val="para170"/>
    <w:pPr>
      <w:suppressLineNumbers/>
      <w:autoSpaceDE w:val="0"/>
      <w:autoSpaceDN w:val="0"/>
      <w:ind w:firstLine="520"/>
    </w:pPr>
    <w:rPr>
      <w:rFonts w:ascii="Times" w:hAnsi="Times"/>
      <w:sz w:val="18"/>
      <w:szCs w:val="18"/>
    </w:rPr>
  </w:style>
  <w:style w:type="paragraph" w:customStyle="1" w:styleId="tcomment">
    <w:name w:val="tcomment"/>
    <w:basedOn w:val="Comment"/>
    <w:pPr>
      <w:framePr w:wrap="auto"/>
    </w:pPr>
  </w:style>
  <w:style w:type="paragraph" w:customStyle="1" w:styleId="para39">
    <w:name w:val="para39"/>
    <w:pPr>
      <w:suppressLineNumbers/>
      <w:autoSpaceDE w:val="0"/>
      <w:autoSpaceDN w:val="0"/>
    </w:pPr>
    <w:rPr>
      <w:rFonts w:ascii="Times" w:hAnsi="Times"/>
      <w:i/>
      <w:iCs/>
      <w:sz w:val="24"/>
      <w:szCs w:val="24"/>
    </w:rPr>
  </w:style>
  <w:style w:type="paragraph" w:customStyle="1" w:styleId="para40">
    <w:name w:val="para40"/>
    <w:pPr>
      <w:suppressLineNumbers/>
      <w:autoSpaceDE w:val="0"/>
      <w:autoSpaceDN w:val="0"/>
    </w:pPr>
    <w:rPr>
      <w:rFonts w:ascii="Times" w:hAnsi="Times"/>
      <w:sz w:val="24"/>
      <w:szCs w:val="24"/>
    </w:rPr>
  </w:style>
  <w:style w:type="paragraph" w:customStyle="1" w:styleId="para41">
    <w:name w:val="para41"/>
    <w:pPr>
      <w:suppressLineNumbers/>
      <w:autoSpaceDE w:val="0"/>
      <w:autoSpaceDN w:val="0"/>
    </w:pPr>
    <w:rPr>
      <w:rFonts w:ascii="Times" w:hAnsi="Times"/>
      <w:b/>
      <w:bCs/>
      <w:sz w:val="24"/>
      <w:szCs w:val="24"/>
    </w:rPr>
  </w:style>
  <w:style w:type="paragraph" w:customStyle="1" w:styleId="para42">
    <w:name w:val="para42"/>
    <w:pPr>
      <w:suppressLineNumbers/>
      <w:tabs>
        <w:tab w:val="left" w:pos="300"/>
      </w:tabs>
      <w:autoSpaceDE w:val="0"/>
      <w:autoSpaceDN w:val="0"/>
    </w:pPr>
    <w:rPr>
      <w:rFonts w:ascii="Times" w:hAnsi="Times"/>
      <w:sz w:val="24"/>
      <w:szCs w:val="24"/>
    </w:rPr>
  </w:style>
  <w:style w:type="paragraph" w:customStyle="1" w:styleId="para43">
    <w:name w:val="para43"/>
    <w:pPr>
      <w:suppressLineNumbers/>
      <w:tabs>
        <w:tab w:val="left" w:pos="300"/>
      </w:tabs>
      <w:autoSpaceDE w:val="0"/>
      <w:autoSpaceDN w:val="0"/>
      <w:ind w:left="300" w:hanging="300"/>
    </w:pPr>
    <w:rPr>
      <w:rFonts w:ascii="Times" w:hAnsi="Times"/>
      <w:sz w:val="24"/>
      <w:szCs w:val="24"/>
    </w:rPr>
  </w:style>
  <w:style w:type="paragraph" w:customStyle="1" w:styleId="para51">
    <w:name w:val="para51"/>
    <w:pPr>
      <w:suppressLineNumbers/>
      <w:tabs>
        <w:tab w:val="left" w:pos="5560"/>
      </w:tabs>
      <w:autoSpaceDE w:val="0"/>
      <w:autoSpaceDN w:val="0"/>
      <w:ind w:left="5840" w:hanging="580"/>
    </w:pPr>
    <w:rPr>
      <w:rFonts w:ascii="Times" w:hAnsi="Times"/>
      <w:sz w:val="24"/>
      <w:szCs w:val="24"/>
    </w:rPr>
  </w:style>
  <w:style w:type="paragraph" w:customStyle="1" w:styleId="BottomLine">
    <w:name w:val="Bottom Line"/>
    <w:basedOn w:val="Normal"/>
    <w:pPr>
      <w:framePr w:w="10080" w:hSpace="180" w:vSpace="180" w:wrap="auto" w:hAnchor="page"/>
      <w:ind w:left="80"/>
      <w:jc w:val="both"/>
    </w:pPr>
    <w:rPr>
      <w:color w:val="FF00FF"/>
    </w:rPr>
  </w:style>
  <w:style w:type="paragraph" w:customStyle="1" w:styleId="text1">
    <w:name w:val="text1"/>
    <w:basedOn w:val="Text"/>
    <w:pPr>
      <w:spacing w:before="240"/>
      <w:ind w:firstLine="0"/>
    </w:pPr>
  </w:style>
  <w:style w:type="paragraph" w:customStyle="1" w:styleId="Solutions">
    <w:name w:val="Solutions"/>
    <w:basedOn w:val="Heading5"/>
    <w:pPr>
      <w:framePr w:w="0" w:hSpace="0" w:vSpace="0" w:wrap="auto" w:hAnchor="text"/>
      <w:tabs>
        <w:tab w:val="left" w:pos="260"/>
      </w:tabs>
    </w:pPr>
    <w:rPr>
      <w:rFonts w:ascii="New York" w:hAnsi="New York"/>
    </w:rPr>
  </w:style>
  <w:style w:type="paragraph" w:customStyle="1" w:styleId="Illustration">
    <w:name w:val="Illustration"/>
    <w:basedOn w:val="Normal"/>
    <w:pPr>
      <w:keepNext/>
      <w:ind w:left="180" w:right="180"/>
      <w:jc w:val="both"/>
    </w:pPr>
  </w:style>
  <w:style w:type="paragraph" w:customStyle="1" w:styleId="para1">
    <w:name w:val="para1"/>
    <w:pPr>
      <w:suppressLineNumbers/>
      <w:autoSpaceDE w:val="0"/>
      <w:autoSpaceDN w:val="0"/>
    </w:pPr>
    <w:rPr>
      <w:rFonts w:ascii="Times" w:hAnsi="Times"/>
      <w:b/>
      <w:bCs/>
      <w:sz w:val="24"/>
      <w:szCs w:val="24"/>
    </w:rPr>
  </w:style>
  <w:style w:type="paragraph" w:customStyle="1" w:styleId="4columns">
    <w:name w:val="4 columns"/>
    <w:basedOn w:val="Normal"/>
    <w:pPr>
      <w:tabs>
        <w:tab w:val="left" w:pos="2700"/>
        <w:tab w:val="left" w:pos="5480"/>
        <w:tab w:val="left" w:pos="7200"/>
      </w:tabs>
      <w:ind w:left="540" w:hanging="540"/>
    </w:pPr>
    <w:rPr>
      <w:sz w:val="20"/>
      <w:szCs w:val="20"/>
    </w:rPr>
  </w:style>
  <w:style w:type="paragraph" w:customStyle="1" w:styleId="para2">
    <w:name w:val="para2"/>
    <w:pPr>
      <w:suppressLineNumbers/>
      <w:autoSpaceDE w:val="0"/>
      <w:autoSpaceDN w:val="0"/>
    </w:pPr>
    <w:rPr>
      <w:rFonts w:ascii="Times" w:hAnsi="Times"/>
      <w:sz w:val="24"/>
      <w:szCs w:val="24"/>
    </w:rPr>
  </w:style>
  <w:style w:type="paragraph" w:customStyle="1" w:styleId="cent3">
    <w:name w:val="cent3"/>
    <w:pPr>
      <w:suppressLineNumbers/>
      <w:autoSpaceDE w:val="0"/>
      <w:autoSpaceDN w:val="0"/>
      <w:jc w:val="center"/>
    </w:pPr>
    <w:rPr>
      <w:rFonts w:ascii="Times" w:hAnsi="Times"/>
      <w:i/>
      <w:iCs/>
      <w:sz w:val="24"/>
      <w:szCs w:val="24"/>
    </w:rPr>
  </w:style>
  <w:style w:type="paragraph" w:customStyle="1" w:styleId="cent4">
    <w:name w:val="cent4"/>
    <w:pPr>
      <w:suppressLineNumbers/>
      <w:autoSpaceDE w:val="0"/>
      <w:autoSpaceDN w:val="0"/>
      <w:jc w:val="center"/>
    </w:pPr>
    <w:rPr>
      <w:rFonts w:ascii="Times" w:hAnsi="Times"/>
      <w:b/>
      <w:bCs/>
      <w:sz w:val="24"/>
      <w:szCs w:val="24"/>
    </w:rPr>
  </w:style>
  <w:style w:type="paragraph" w:customStyle="1" w:styleId="para5">
    <w:name w:val="para5"/>
    <w:pPr>
      <w:suppressLineNumbers/>
      <w:autoSpaceDE w:val="0"/>
      <w:autoSpaceDN w:val="0"/>
      <w:ind w:firstLine="220"/>
    </w:pPr>
    <w:rPr>
      <w:rFonts w:ascii="Times" w:hAnsi="Times"/>
      <w:b/>
      <w:bCs/>
      <w:sz w:val="24"/>
      <w:szCs w:val="24"/>
    </w:rPr>
  </w:style>
  <w:style w:type="paragraph" w:customStyle="1" w:styleId="para6">
    <w:name w:val="para6"/>
    <w:pPr>
      <w:suppressLineNumbers/>
      <w:autoSpaceDE w:val="0"/>
      <w:autoSpaceDN w:val="0"/>
      <w:ind w:left="220"/>
    </w:pPr>
    <w:rPr>
      <w:rFonts w:ascii="Times" w:hAnsi="Times"/>
      <w:sz w:val="24"/>
      <w:szCs w:val="24"/>
    </w:rPr>
  </w:style>
  <w:style w:type="paragraph" w:customStyle="1" w:styleId="table7">
    <w:name w:val="table7"/>
    <w:pPr>
      <w:keepLines/>
      <w:suppressLineNumbers/>
      <w:tabs>
        <w:tab w:val="decimal" w:pos="6760"/>
      </w:tabs>
      <w:autoSpaceDE w:val="0"/>
      <w:autoSpaceDN w:val="0"/>
    </w:pPr>
    <w:rPr>
      <w:rFonts w:ascii="Times" w:hAnsi="Times"/>
      <w:sz w:val="24"/>
      <w:szCs w:val="24"/>
    </w:rPr>
  </w:style>
  <w:style w:type="paragraph" w:customStyle="1" w:styleId="para8">
    <w:name w:val="para8"/>
    <w:pPr>
      <w:suppressLineNumbers/>
      <w:tabs>
        <w:tab w:val="left" w:pos="5940"/>
      </w:tabs>
      <w:autoSpaceDE w:val="0"/>
      <w:autoSpaceDN w:val="0"/>
      <w:ind w:firstLine="220"/>
    </w:pPr>
    <w:rPr>
      <w:rFonts w:ascii="Times" w:hAnsi="Times"/>
      <w:sz w:val="24"/>
      <w:szCs w:val="24"/>
    </w:rPr>
  </w:style>
  <w:style w:type="paragraph" w:customStyle="1" w:styleId="para9">
    <w:name w:val="para9"/>
    <w:pPr>
      <w:suppressLineNumbers/>
      <w:autoSpaceDE w:val="0"/>
      <w:autoSpaceDN w:val="0"/>
      <w:ind w:firstLine="400"/>
    </w:pPr>
    <w:rPr>
      <w:rFonts w:ascii="Times" w:hAnsi="Times"/>
      <w:sz w:val="24"/>
      <w:szCs w:val="24"/>
    </w:rPr>
  </w:style>
  <w:style w:type="paragraph" w:customStyle="1" w:styleId="table10">
    <w:name w:val="table10"/>
    <w:pPr>
      <w:keepLines/>
      <w:suppressLineNumbers/>
      <w:tabs>
        <w:tab w:val="decimal" w:pos="620"/>
        <w:tab w:val="left" w:pos="1220"/>
      </w:tabs>
      <w:autoSpaceDE w:val="0"/>
      <w:autoSpaceDN w:val="0"/>
    </w:pPr>
    <w:rPr>
      <w:rFonts w:ascii="Times" w:hAnsi="Times"/>
      <w:b/>
      <w:bCs/>
      <w:sz w:val="24"/>
      <w:szCs w:val="24"/>
    </w:rPr>
  </w:style>
  <w:style w:type="paragraph" w:customStyle="1" w:styleId="para12">
    <w:name w:val="para12"/>
    <w:pPr>
      <w:suppressLineNumbers/>
      <w:autoSpaceDE w:val="0"/>
      <w:autoSpaceDN w:val="0"/>
      <w:ind w:firstLine="480"/>
    </w:pPr>
    <w:rPr>
      <w:rFonts w:ascii="Times" w:hAnsi="Times"/>
      <w:b/>
      <w:bCs/>
      <w:sz w:val="24"/>
      <w:szCs w:val="24"/>
    </w:rPr>
  </w:style>
  <w:style w:type="paragraph" w:customStyle="1" w:styleId="table13">
    <w:name w:val="table13"/>
    <w:pPr>
      <w:keepLines/>
      <w:suppressLineNumbers/>
      <w:tabs>
        <w:tab w:val="left" w:pos="960"/>
        <w:tab w:val="left" w:pos="7620"/>
        <w:tab w:val="decimal" w:pos="8820"/>
      </w:tabs>
      <w:autoSpaceDE w:val="0"/>
      <w:autoSpaceDN w:val="0"/>
      <w:ind w:right="-240"/>
    </w:pPr>
    <w:rPr>
      <w:rFonts w:ascii="Times" w:hAnsi="Times"/>
      <w:sz w:val="24"/>
      <w:szCs w:val="24"/>
    </w:rPr>
  </w:style>
  <w:style w:type="paragraph" w:customStyle="1" w:styleId="table14">
    <w:name w:val="table14"/>
    <w:pPr>
      <w:keepLines/>
      <w:suppressLineNumbers/>
      <w:tabs>
        <w:tab w:val="left" w:pos="960"/>
        <w:tab w:val="decimal" w:pos="7320"/>
        <w:tab w:val="decimal" w:pos="8820"/>
      </w:tabs>
      <w:autoSpaceDE w:val="0"/>
      <w:autoSpaceDN w:val="0"/>
      <w:ind w:right="-240"/>
    </w:pPr>
    <w:rPr>
      <w:rFonts w:ascii="Times" w:hAnsi="Times"/>
      <w:b/>
      <w:bCs/>
      <w:sz w:val="24"/>
      <w:szCs w:val="24"/>
    </w:rPr>
  </w:style>
  <w:style w:type="paragraph" w:customStyle="1" w:styleId="table15">
    <w:name w:val="table15"/>
    <w:pPr>
      <w:keepLines/>
      <w:suppressLineNumbers/>
      <w:tabs>
        <w:tab w:val="left" w:pos="960"/>
        <w:tab w:val="decimal" w:pos="4320"/>
        <w:tab w:val="left" w:pos="7620"/>
        <w:tab w:val="decimal" w:pos="8820"/>
      </w:tabs>
      <w:autoSpaceDE w:val="0"/>
      <w:autoSpaceDN w:val="0"/>
      <w:ind w:right="-240"/>
    </w:pPr>
    <w:rPr>
      <w:rFonts w:ascii="Times" w:hAnsi="Times"/>
      <w:sz w:val="24"/>
      <w:szCs w:val="24"/>
    </w:rPr>
  </w:style>
  <w:style w:type="paragraph" w:customStyle="1" w:styleId="table16">
    <w:name w:val="table16"/>
    <w:pPr>
      <w:keepLines/>
      <w:suppressLineNumbers/>
      <w:tabs>
        <w:tab w:val="left" w:pos="960"/>
        <w:tab w:val="decimal" w:pos="8820"/>
      </w:tabs>
      <w:autoSpaceDE w:val="0"/>
      <w:autoSpaceDN w:val="0"/>
      <w:ind w:right="-240"/>
    </w:pPr>
    <w:rPr>
      <w:rFonts w:ascii="Times" w:hAnsi="Times"/>
      <w:sz w:val="24"/>
      <w:szCs w:val="24"/>
    </w:rPr>
  </w:style>
  <w:style w:type="paragraph" w:customStyle="1" w:styleId="table17">
    <w:name w:val="table17"/>
    <w:pPr>
      <w:keepLines/>
      <w:suppressLineNumbers/>
      <w:tabs>
        <w:tab w:val="left" w:pos="1200"/>
        <w:tab w:val="decimal" w:pos="8820"/>
      </w:tabs>
      <w:autoSpaceDE w:val="0"/>
      <w:autoSpaceDN w:val="0"/>
      <w:ind w:right="-240"/>
    </w:pPr>
    <w:rPr>
      <w:rFonts w:ascii="Times" w:hAnsi="Times"/>
      <w:b/>
      <w:bCs/>
      <w:sz w:val="24"/>
      <w:szCs w:val="24"/>
    </w:rPr>
  </w:style>
  <w:style w:type="paragraph" w:customStyle="1" w:styleId="table18">
    <w:name w:val="table18"/>
    <w:pPr>
      <w:keepLines/>
      <w:suppressLineNumbers/>
      <w:tabs>
        <w:tab w:val="left" w:pos="960"/>
        <w:tab w:val="decimal" w:pos="5760"/>
        <w:tab w:val="decimal" w:pos="8520"/>
      </w:tabs>
      <w:autoSpaceDE w:val="0"/>
      <w:autoSpaceDN w:val="0"/>
      <w:ind w:right="-240"/>
    </w:pPr>
    <w:rPr>
      <w:rFonts w:ascii="Times" w:hAnsi="Times"/>
      <w:b/>
      <w:bCs/>
      <w:sz w:val="24"/>
      <w:szCs w:val="24"/>
    </w:rPr>
  </w:style>
  <w:style w:type="paragraph" w:customStyle="1" w:styleId="cent19">
    <w:name w:val="cent19"/>
    <w:pPr>
      <w:suppressLineNumbers/>
      <w:autoSpaceDE w:val="0"/>
      <w:autoSpaceDN w:val="0"/>
      <w:jc w:val="center"/>
    </w:pPr>
    <w:rPr>
      <w:rFonts w:ascii="Times" w:hAnsi="Times"/>
      <w:i/>
      <w:iCs/>
      <w:sz w:val="24"/>
      <w:szCs w:val="24"/>
    </w:rPr>
  </w:style>
  <w:style w:type="paragraph" w:customStyle="1" w:styleId="para20">
    <w:name w:val="para20"/>
    <w:pPr>
      <w:suppressLineNumbers/>
      <w:autoSpaceDE w:val="0"/>
      <w:autoSpaceDN w:val="0"/>
    </w:pPr>
    <w:rPr>
      <w:rFonts w:ascii="Times" w:hAnsi="Times"/>
      <w:i/>
      <w:iCs/>
      <w:sz w:val="24"/>
      <w:szCs w:val="24"/>
    </w:rPr>
  </w:style>
  <w:style w:type="paragraph" w:customStyle="1" w:styleId="para21">
    <w:name w:val="para21"/>
    <w:pPr>
      <w:suppressLineNumbers/>
      <w:autoSpaceDE w:val="0"/>
      <w:autoSpaceDN w:val="0"/>
      <w:ind w:firstLine="740"/>
    </w:pPr>
    <w:rPr>
      <w:rFonts w:ascii="Times" w:hAnsi="Times"/>
      <w:sz w:val="24"/>
      <w:szCs w:val="24"/>
    </w:rPr>
  </w:style>
  <w:style w:type="paragraph" w:customStyle="1" w:styleId="para22">
    <w:name w:val="para22"/>
    <w:pPr>
      <w:suppressLineNumbers/>
      <w:autoSpaceDE w:val="0"/>
      <w:autoSpaceDN w:val="0"/>
      <w:ind w:firstLine="940"/>
    </w:pPr>
    <w:rPr>
      <w:rFonts w:ascii="Times" w:hAnsi="Times"/>
      <w:sz w:val="24"/>
      <w:szCs w:val="24"/>
    </w:rPr>
  </w:style>
  <w:style w:type="paragraph" w:customStyle="1" w:styleId="cent23">
    <w:name w:val="cent23"/>
    <w:pPr>
      <w:suppressLineNumbers/>
      <w:autoSpaceDE w:val="0"/>
      <w:autoSpaceDN w:val="0"/>
      <w:jc w:val="center"/>
    </w:pPr>
    <w:rPr>
      <w:rFonts w:ascii="Times" w:hAnsi="Times"/>
      <w:b/>
      <w:bCs/>
      <w:sz w:val="24"/>
      <w:szCs w:val="24"/>
    </w:rPr>
  </w:style>
  <w:style w:type="paragraph" w:customStyle="1" w:styleId="para24">
    <w:name w:val="para24"/>
    <w:pPr>
      <w:suppressLineNumbers/>
      <w:autoSpaceDE w:val="0"/>
      <w:autoSpaceDN w:val="0"/>
      <w:ind w:firstLine="3060"/>
      <w:jc w:val="both"/>
    </w:pPr>
    <w:rPr>
      <w:rFonts w:ascii="Times" w:hAnsi="Times"/>
      <w:i/>
      <w:iCs/>
      <w:sz w:val="24"/>
      <w:szCs w:val="24"/>
    </w:rPr>
  </w:style>
  <w:style w:type="paragraph" w:customStyle="1" w:styleId="para25">
    <w:name w:val="para25"/>
    <w:pPr>
      <w:suppressLineNumbers/>
      <w:autoSpaceDE w:val="0"/>
      <w:autoSpaceDN w:val="0"/>
      <w:jc w:val="both"/>
    </w:pPr>
    <w:rPr>
      <w:rFonts w:ascii="Times" w:hAnsi="Times"/>
      <w:b/>
      <w:bCs/>
      <w:sz w:val="24"/>
      <w:szCs w:val="24"/>
    </w:rPr>
  </w:style>
  <w:style w:type="paragraph" w:customStyle="1" w:styleId="para26">
    <w:name w:val="para26"/>
    <w:pPr>
      <w:suppressLineNumbers/>
      <w:autoSpaceDE w:val="0"/>
      <w:autoSpaceDN w:val="0"/>
      <w:ind w:left="940" w:hanging="940"/>
      <w:jc w:val="both"/>
    </w:pPr>
    <w:rPr>
      <w:rFonts w:ascii="Times" w:hAnsi="Times"/>
      <w:sz w:val="24"/>
      <w:szCs w:val="24"/>
    </w:rPr>
  </w:style>
  <w:style w:type="paragraph" w:customStyle="1" w:styleId="AC">
    <w:name w:val="AC"/>
    <w:basedOn w:val="Entry000s"/>
    <w:pPr>
      <w:keepNext/>
      <w:shd w:val="pct10" w:color="auto" w:fill="auto"/>
      <w:tabs>
        <w:tab w:val="clear" w:pos="720"/>
        <w:tab w:val="clear" w:pos="5040"/>
        <w:tab w:val="clear" w:pos="5300"/>
        <w:tab w:val="clear" w:pos="5940"/>
        <w:tab w:val="clear" w:pos="6740"/>
        <w:tab w:val="left" w:pos="1340"/>
        <w:tab w:val="decimal" w:leader="dot" w:pos="4500"/>
        <w:tab w:val="decimal" w:pos="5660"/>
        <w:tab w:val="decimal" w:pos="6560"/>
      </w:tabs>
      <w:spacing w:line="480" w:lineRule="atLeast"/>
      <w:ind w:left="360" w:right="360" w:firstLine="360"/>
      <w:jc w:val="both"/>
    </w:pPr>
    <w:rPr>
      <w:i/>
      <w:iCs/>
      <w:color w:val="00FFFF"/>
    </w:rPr>
  </w:style>
  <w:style w:type="paragraph" w:customStyle="1" w:styleId="para27">
    <w:name w:val="para27"/>
    <w:pPr>
      <w:suppressLineNumbers/>
      <w:autoSpaceDE w:val="0"/>
      <w:autoSpaceDN w:val="0"/>
      <w:ind w:left="940"/>
      <w:jc w:val="both"/>
    </w:pPr>
    <w:rPr>
      <w:rFonts w:ascii="Times" w:hAnsi="Times"/>
      <w:sz w:val="24"/>
      <w:szCs w:val="24"/>
    </w:rPr>
  </w:style>
  <w:style w:type="paragraph" w:customStyle="1" w:styleId="cent28">
    <w:name w:val="cent28"/>
    <w:pPr>
      <w:suppressLineNumbers/>
      <w:autoSpaceDE w:val="0"/>
      <w:autoSpaceDN w:val="0"/>
      <w:jc w:val="center"/>
    </w:pPr>
    <w:rPr>
      <w:rFonts w:ascii="Times" w:hAnsi="Times"/>
      <w:sz w:val="24"/>
      <w:szCs w:val="24"/>
    </w:rPr>
  </w:style>
  <w:style w:type="paragraph" w:customStyle="1" w:styleId="para29">
    <w:name w:val="para29"/>
    <w:pPr>
      <w:suppressLineNumbers/>
      <w:autoSpaceDE w:val="0"/>
      <w:autoSpaceDN w:val="0"/>
      <w:ind w:firstLine="4280"/>
      <w:jc w:val="both"/>
    </w:pPr>
    <w:rPr>
      <w:rFonts w:ascii="Times" w:hAnsi="Times"/>
      <w:b/>
      <w:bCs/>
      <w:sz w:val="24"/>
      <w:szCs w:val="24"/>
    </w:rPr>
  </w:style>
  <w:style w:type="paragraph" w:customStyle="1" w:styleId="para30">
    <w:name w:val="para30"/>
    <w:pPr>
      <w:suppressLineNumbers/>
      <w:autoSpaceDE w:val="0"/>
      <w:autoSpaceDN w:val="0"/>
      <w:ind w:firstLine="3060"/>
    </w:pPr>
    <w:rPr>
      <w:rFonts w:ascii="Times" w:hAnsi="Times"/>
      <w:i/>
      <w:iCs/>
      <w:sz w:val="24"/>
      <w:szCs w:val="24"/>
    </w:rPr>
  </w:style>
  <w:style w:type="paragraph" w:customStyle="1" w:styleId="para31">
    <w:name w:val="para31"/>
    <w:pPr>
      <w:suppressLineNumbers/>
      <w:autoSpaceDE w:val="0"/>
      <w:autoSpaceDN w:val="0"/>
      <w:ind w:left="940" w:hanging="940"/>
    </w:pPr>
    <w:rPr>
      <w:rFonts w:ascii="Times" w:hAnsi="Times"/>
      <w:sz w:val="24"/>
      <w:szCs w:val="24"/>
    </w:rPr>
  </w:style>
  <w:style w:type="paragraph" w:customStyle="1" w:styleId="para32">
    <w:name w:val="para32"/>
    <w:pPr>
      <w:suppressLineNumbers/>
      <w:autoSpaceDE w:val="0"/>
      <w:autoSpaceDN w:val="0"/>
      <w:ind w:left="940"/>
    </w:pPr>
    <w:rPr>
      <w:rFonts w:ascii="Times" w:hAnsi="Times"/>
      <w:sz w:val="24"/>
      <w:szCs w:val="24"/>
    </w:rPr>
  </w:style>
  <w:style w:type="paragraph" w:customStyle="1" w:styleId="para33">
    <w:name w:val="para33"/>
    <w:pPr>
      <w:suppressLineNumbers/>
      <w:autoSpaceDE w:val="0"/>
      <w:autoSpaceDN w:val="0"/>
      <w:ind w:firstLine="4280"/>
    </w:pPr>
    <w:rPr>
      <w:rFonts w:ascii="Times" w:hAnsi="Times"/>
      <w:b/>
      <w:bCs/>
      <w:sz w:val="24"/>
      <w:szCs w:val="24"/>
    </w:rPr>
  </w:style>
  <w:style w:type="paragraph" w:customStyle="1" w:styleId="table34">
    <w:name w:val="table34"/>
    <w:pPr>
      <w:keepLines/>
      <w:suppressLineNumbers/>
      <w:tabs>
        <w:tab w:val="decimal" w:pos="1080"/>
      </w:tabs>
      <w:autoSpaceDE w:val="0"/>
      <w:autoSpaceDN w:val="0"/>
    </w:pPr>
    <w:rPr>
      <w:rFonts w:ascii="Times" w:hAnsi="Times"/>
      <w:b/>
      <w:bCs/>
      <w:sz w:val="24"/>
      <w:szCs w:val="24"/>
    </w:rPr>
  </w:style>
  <w:style w:type="paragraph" w:customStyle="1" w:styleId="cent35">
    <w:name w:val="cent35"/>
    <w:pPr>
      <w:suppressLineNumbers/>
      <w:autoSpaceDE w:val="0"/>
      <w:autoSpaceDN w:val="0"/>
      <w:jc w:val="center"/>
    </w:pPr>
    <w:rPr>
      <w:rFonts w:ascii="Times" w:hAnsi="Times"/>
      <w:b/>
      <w:bCs/>
      <w:sz w:val="24"/>
      <w:szCs w:val="24"/>
    </w:rPr>
  </w:style>
  <w:style w:type="paragraph" w:customStyle="1" w:styleId="table36">
    <w:name w:val="table36"/>
    <w:pPr>
      <w:keepLines/>
      <w:suppressLineNumbers/>
      <w:tabs>
        <w:tab w:val="left" w:pos="480"/>
      </w:tabs>
      <w:autoSpaceDE w:val="0"/>
      <w:autoSpaceDN w:val="0"/>
    </w:pPr>
    <w:rPr>
      <w:rFonts w:ascii="Times" w:hAnsi="Times"/>
      <w:b/>
      <w:bCs/>
      <w:sz w:val="24"/>
      <w:szCs w:val="24"/>
    </w:rPr>
  </w:style>
  <w:style w:type="paragraph" w:customStyle="1" w:styleId="para3">
    <w:name w:val="para3"/>
    <w:pPr>
      <w:suppressLineNumbers/>
      <w:tabs>
        <w:tab w:val="left" w:pos="1460"/>
      </w:tabs>
      <w:autoSpaceDE w:val="0"/>
      <w:autoSpaceDN w:val="0"/>
      <w:ind w:left="1460" w:hanging="320"/>
    </w:pPr>
    <w:rPr>
      <w:rFonts w:ascii="Times" w:hAnsi="Times"/>
      <w:sz w:val="24"/>
      <w:szCs w:val="24"/>
    </w:rPr>
  </w:style>
  <w:style w:type="paragraph" w:customStyle="1" w:styleId="table4">
    <w:name w:val="table4"/>
    <w:pPr>
      <w:keepLines/>
      <w:suppressLineNumbers/>
      <w:tabs>
        <w:tab w:val="left" w:pos="7140"/>
        <w:tab w:val="left" w:pos="8720"/>
      </w:tabs>
      <w:autoSpaceDE w:val="0"/>
      <w:autoSpaceDN w:val="0"/>
      <w:ind w:right="-720"/>
    </w:pPr>
    <w:rPr>
      <w:rFonts w:ascii="Times" w:hAnsi="Times"/>
      <w:i/>
      <w:iCs/>
      <w:sz w:val="24"/>
      <w:szCs w:val="24"/>
    </w:rPr>
  </w:style>
  <w:style w:type="paragraph" w:customStyle="1" w:styleId="table5">
    <w:name w:val="table5"/>
    <w:pPr>
      <w:keepLines/>
      <w:suppressLineNumbers/>
      <w:tabs>
        <w:tab w:val="decimal" w:pos="7800"/>
        <w:tab w:val="decimal" w:pos="9360"/>
      </w:tabs>
      <w:autoSpaceDE w:val="0"/>
      <w:autoSpaceDN w:val="0"/>
      <w:ind w:right="-720"/>
    </w:pPr>
    <w:rPr>
      <w:rFonts w:ascii="Times" w:hAnsi="Times"/>
      <w:sz w:val="24"/>
      <w:szCs w:val="24"/>
    </w:rPr>
  </w:style>
  <w:style w:type="paragraph" w:customStyle="1" w:styleId="cent6">
    <w:name w:val="cent6"/>
    <w:pPr>
      <w:suppressLineNumbers/>
      <w:autoSpaceDE w:val="0"/>
      <w:autoSpaceDN w:val="0"/>
      <w:jc w:val="center"/>
    </w:pPr>
    <w:rPr>
      <w:rFonts w:ascii="Times" w:hAnsi="Times"/>
      <w:i/>
      <w:iCs/>
      <w:sz w:val="24"/>
      <w:szCs w:val="24"/>
    </w:rPr>
  </w:style>
  <w:style w:type="paragraph" w:customStyle="1" w:styleId="cent7">
    <w:name w:val="cent7"/>
    <w:pPr>
      <w:suppressLineNumbers/>
      <w:autoSpaceDE w:val="0"/>
      <w:autoSpaceDN w:val="0"/>
      <w:jc w:val="center"/>
    </w:pPr>
    <w:rPr>
      <w:rFonts w:ascii="Times" w:hAnsi="Times"/>
      <w:b/>
      <w:bCs/>
      <w:sz w:val="24"/>
      <w:szCs w:val="24"/>
    </w:rPr>
  </w:style>
  <w:style w:type="paragraph" w:customStyle="1" w:styleId="table11">
    <w:name w:val="table11"/>
    <w:pPr>
      <w:keepLines/>
      <w:suppressLineNumbers/>
      <w:tabs>
        <w:tab w:val="left" w:pos="620"/>
        <w:tab w:val="decimal" w:pos="7700"/>
      </w:tabs>
      <w:autoSpaceDE w:val="0"/>
      <w:autoSpaceDN w:val="0"/>
    </w:pPr>
    <w:rPr>
      <w:rFonts w:ascii="Times" w:hAnsi="Times"/>
      <w:sz w:val="24"/>
      <w:szCs w:val="24"/>
    </w:rPr>
  </w:style>
  <w:style w:type="paragraph" w:customStyle="1" w:styleId="para13">
    <w:name w:val="para13"/>
    <w:pPr>
      <w:suppressLineNumbers/>
      <w:autoSpaceDE w:val="0"/>
      <w:autoSpaceDN w:val="0"/>
      <w:ind w:firstLine="620"/>
    </w:pPr>
    <w:rPr>
      <w:rFonts w:ascii="Times" w:hAnsi="Times"/>
      <w:sz w:val="24"/>
      <w:szCs w:val="24"/>
    </w:rPr>
  </w:style>
  <w:style w:type="paragraph" w:customStyle="1" w:styleId="para14">
    <w:name w:val="para14"/>
    <w:pPr>
      <w:suppressLineNumbers/>
      <w:autoSpaceDE w:val="0"/>
      <w:autoSpaceDN w:val="0"/>
      <w:ind w:firstLine="840"/>
    </w:pPr>
    <w:rPr>
      <w:rFonts w:ascii="Times" w:hAnsi="Times"/>
      <w:sz w:val="24"/>
      <w:szCs w:val="24"/>
    </w:rPr>
  </w:style>
  <w:style w:type="paragraph" w:customStyle="1" w:styleId="cent15">
    <w:name w:val="cent15"/>
    <w:pPr>
      <w:suppressLineNumbers/>
      <w:autoSpaceDE w:val="0"/>
      <w:autoSpaceDN w:val="0"/>
      <w:jc w:val="center"/>
    </w:pPr>
    <w:rPr>
      <w:rFonts w:ascii="Times" w:hAnsi="Times"/>
      <w:sz w:val="24"/>
      <w:szCs w:val="24"/>
    </w:rPr>
  </w:style>
  <w:style w:type="paragraph" w:customStyle="1" w:styleId="para7">
    <w:name w:val="para7"/>
    <w:pPr>
      <w:suppressLineNumbers/>
      <w:tabs>
        <w:tab w:val="left" w:pos="780"/>
      </w:tabs>
      <w:autoSpaceDE w:val="0"/>
      <w:autoSpaceDN w:val="0"/>
      <w:ind w:firstLine="400"/>
      <w:jc w:val="both"/>
    </w:pPr>
    <w:rPr>
      <w:rFonts w:ascii="Times" w:hAnsi="Times"/>
      <w:sz w:val="24"/>
      <w:szCs w:val="24"/>
    </w:rPr>
  </w:style>
  <w:style w:type="paragraph" w:customStyle="1" w:styleId="heading100">
    <w:name w:val="heading 10"/>
    <w:basedOn w:val="heading50"/>
    <w:next w:val="Normal"/>
    <w:pPr>
      <w:keepLines/>
      <w:framePr w:w="1980" w:hSpace="180" w:vSpace="180" w:wrap="auto" w:hAnchor="page"/>
    </w:pPr>
    <w:rPr>
      <w:rFonts w:ascii="New York" w:hAnsi="New York"/>
      <w:color w:val="0000FF"/>
    </w:rPr>
  </w:style>
  <w:style w:type="paragraph" w:customStyle="1" w:styleId="cr">
    <w:name w:val="cr"/>
    <w:basedOn w:val="TOC2"/>
    <w:pPr>
      <w:tabs>
        <w:tab w:val="clear" w:pos="7200"/>
        <w:tab w:val="right" w:pos="7100"/>
        <w:tab w:val="left" w:leader="dot" w:pos="8280"/>
      </w:tabs>
      <w:ind w:firstLine="0"/>
    </w:pPr>
    <w:rPr>
      <w:smallCaps w:val="0"/>
      <w:color w:val="00FFFF"/>
      <w:sz w:val="20"/>
      <w:szCs w:val="20"/>
    </w:rPr>
  </w:style>
  <w:style w:type="paragraph" w:customStyle="1" w:styleId="Titles">
    <w:name w:val="Titles"/>
    <w:basedOn w:val="Normal"/>
    <w:pPr>
      <w:tabs>
        <w:tab w:val="left" w:pos="180"/>
        <w:tab w:val="left" w:pos="2060"/>
      </w:tabs>
      <w:jc w:val="center"/>
    </w:pPr>
    <w:rPr>
      <w:b/>
      <w:bCs/>
      <w:smallCaps/>
      <w:color w:val="FF00FF"/>
      <w:sz w:val="28"/>
      <w:szCs w:val="28"/>
    </w:rPr>
  </w:style>
  <w:style w:type="paragraph" w:customStyle="1" w:styleId="para4">
    <w:name w:val="para4"/>
    <w:pPr>
      <w:suppressLineNumbers/>
      <w:autoSpaceDE w:val="0"/>
      <w:autoSpaceDN w:val="0"/>
      <w:ind w:left="320"/>
    </w:pPr>
    <w:rPr>
      <w:rFonts w:ascii="Times" w:hAnsi="Times"/>
      <w:sz w:val="24"/>
      <w:szCs w:val="24"/>
    </w:rPr>
  </w:style>
  <w:style w:type="paragraph" w:customStyle="1" w:styleId="wide">
    <w:name w:val="wide"/>
    <w:basedOn w:val="Text"/>
    <w:pPr>
      <w:keepNext/>
      <w:keepLines/>
      <w:framePr w:w="10980" w:hSpace="180" w:vSpace="180" w:wrap="auto" w:vAnchor="page" w:hAnchor="page" w:x="712" w:y="1826"/>
      <w:pBdr>
        <w:top w:val="single" w:sz="6" w:space="0" w:color="auto" w:shadow="1"/>
        <w:left w:val="single" w:sz="6" w:space="0" w:color="auto" w:shadow="1"/>
        <w:bottom w:val="single" w:sz="6" w:space="0" w:color="auto" w:shadow="1"/>
        <w:right w:val="single" w:sz="6" w:space="0" w:color="auto" w:shadow="1"/>
      </w:pBdr>
      <w:shd w:val="pct10" w:color="auto" w:fill="auto"/>
      <w:ind w:left="180" w:right="900" w:firstLine="0"/>
    </w:pPr>
    <w:rPr>
      <w:color w:val="0000FF"/>
    </w:rPr>
  </w:style>
  <w:style w:type="paragraph" w:customStyle="1" w:styleId="wide1">
    <w:name w:val="wide1"/>
    <w:basedOn w:val="Text"/>
    <w:pPr>
      <w:framePr w:w="10080" w:hSpace="180" w:vSpace="180" w:wrap="auto" w:hAnchor="page" w:x="721"/>
      <w:pBdr>
        <w:top w:val="single" w:sz="6" w:space="0" w:color="auto" w:shadow="1"/>
        <w:left w:val="single" w:sz="6" w:space="0" w:color="auto" w:shadow="1"/>
        <w:bottom w:val="single" w:sz="6" w:space="0" w:color="auto" w:shadow="1"/>
        <w:right w:val="single" w:sz="6" w:space="0" w:color="auto" w:shadow="1"/>
      </w:pBdr>
      <w:spacing w:before="240" w:line="360" w:lineRule="atLeast"/>
      <w:ind w:left="80" w:right="100" w:firstLine="0"/>
    </w:pPr>
  </w:style>
  <w:style w:type="paragraph" w:customStyle="1" w:styleId="Text10">
    <w:name w:val="Text1"/>
    <w:basedOn w:val="Text"/>
    <w:pPr>
      <w:spacing w:before="240"/>
      <w:ind w:firstLine="0"/>
    </w:pPr>
  </w:style>
  <w:style w:type="paragraph" w:customStyle="1" w:styleId="List1">
    <w:name w:val="List1"/>
    <w:basedOn w:val="Normal"/>
    <w:pPr>
      <w:tabs>
        <w:tab w:val="decimal" w:pos="360"/>
      </w:tabs>
      <w:spacing w:after="40"/>
      <w:ind w:left="540" w:right="360" w:hanging="540"/>
    </w:pPr>
  </w:style>
  <w:style w:type="paragraph" w:customStyle="1" w:styleId="Transparancies">
    <w:name w:val="Transparancies"/>
    <w:basedOn w:val="Exhibitheading"/>
    <w:pPr>
      <w:framePr w:wrap="auto"/>
      <w:pBdr>
        <w:top w:val="single" w:sz="6" w:space="0" w:color="auto" w:shadow="1"/>
        <w:left w:val="single" w:sz="6" w:space="0" w:color="auto" w:shadow="1"/>
        <w:bottom w:val="single" w:sz="6" w:space="0" w:color="auto" w:shadow="1"/>
        <w:right w:val="single" w:sz="6" w:space="0" w:color="auto" w:shadow="1"/>
      </w:pBdr>
      <w:ind w:right="0"/>
      <w:jc w:val="both"/>
    </w:pPr>
    <w:rPr>
      <w:rFonts w:ascii="Times" w:hAnsi="Times"/>
      <w:caps w:val="0"/>
      <w:sz w:val="36"/>
      <w:szCs w:val="36"/>
    </w:rPr>
  </w:style>
  <w:style w:type="paragraph" w:customStyle="1" w:styleId="transparancies0">
    <w:name w:val="transparancies"/>
    <w:basedOn w:val="Normal"/>
    <w:pPr>
      <w:spacing w:before="240"/>
      <w:ind w:firstLine="460"/>
      <w:jc w:val="both"/>
    </w:pPr>
    <w:rPr>
      <w:sz w:val="36"/>
      <w:szCs w:val="36"/>
    </w:rPr>
  </w:style>
  <w:style w:type="paragraph" w:customStyle="1" w:styleId="transT">
    <w:name w:val="trans T"/>
    <w:basedOn w:val="Entry000s"/>
    <w:pPr>
      <w:tabs>
        <w:tab w:val="clear" w:pos="5040"/>
        <w:tab w:val="clear" w:pos="5300"/>
        <w:tab w:val="clear" w:pos="5940"/>
        <w:tab w:val="clear" w:pos="6740"/>
        <w:tab w:val="decimal" w:leader="dot" w:pos="7740"/>
        <w:tab w:val="decimal" w:pos="9000"/>
        <w:tab w:val="decimal" w:pos="10260"/>
      </w:tabs>
    </w:pPr>
    <w:rPr>
      <w:rFonts w:ascii="Times" w:hAnsi="Times"/>
      <w:sz w:val="36"/>
      <w:szCs w:val="36"/>
    </w:rPr>
  </w:style>
  <w:style w:type="paragraph" w:customStyle="1" w:styleId="T">
    <w:name w:val="T"/>
    <w:basedOn w:val="List"/>
    <w:pPr>
      <w:spacing w:before="240" w:line="480" w:lineRule="atLeast"/>
      <w:ind w:left="800" w:hanging="800"/>
    </w:pPr>
    <w:rPr>
      <w:sz w:val="36"/>
      <w:szCs w:val="36"/>
    </w:rPr>
  </w:style>
  <w:style w:type="paragraph" w:customStyle="1" w:styleId="Style1">
    <w:name w:val="Style1"/>
    <w:pPr>
      <w:autoSpaceDE w:val="0"/>
      <w:autoSpaceDN w:val="0"/>
      <w:spacing w:before="120"/>
      <w:jc w:val="center"/>
    </w:pPr>
    <w:rPr>
      <w:rFonts w:ascii="New York" w:hAnsi="New York"/>
      <w:noProof/>
    </w:rPr>
  </w:style>
  <w:style w:type="character" w:styleId="EndnoteReference">
    <w:name w:val="endnote reference"/>
    <w:semiHidden/>
    <w:rPr>
      <w:vertAlign w:val="superscript"/>
    </w:rPr>
  </w:style>
  <w:style w:type="paragraph" w:styleId="BodyTextIndent">
    <w:name w:val="Body Text Indent"/>
    <w:basedOn w:val="Normal"/>
    <w:pPr>
      <w:autoSpaceDE/>
      <w:autoSpaceDN/>
      <w:ind w:left="180"/>
    </w:pPr>
    <w:rPr>
      <w:rFonts w:ascii="Times" w:hAnsi="Times"/>
    </w:rPr>
  </w:style>
  <w:style w:type="paragraph" w:styleId="BodyText">
    <w:name w:val="Body Text"/>
    <w:basedOn w:val="Normal"/>
    <w:pPr>
      <w:autoSpaceDE/>
      <w:autoSpaceDN/>
      <w:jc w:val="center"/>
    </w:pPr>
    <w:rPr>
      <w:b/>
      <w:bCs/>
      <w:color w:val="0000FF"/>
      <w:sz w:val="32"/>
      <w:szCs w:val="3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sz w:val="20"/>
      <w:szCs w:val="20"/>
    </w:rPr>
  </w:style>
  <w:style w:type="paragraph" w:customStyle="1" w:styleId="bopoblu">
    <w:name w:val="bopob_lu"/>
    <w:basedOn w:val="Normal"/>
    <w:uiPriority w:val="99"/>
    <w:rsid w:val="00FC7AEA"/>
    <w:pPr>
      <w:widowControl w:val="0"/>
      <w:tabs>
        <w:tab w:val="left" w:pos="200"/>
        <w:tab w:val="left" w:pos="640"/>
      </w:tabs>
      <w:suppressAutoHyphens/>
      <w:adjustRightInd w:val="0"/>
      <w:spacing w:after="100" w:line="200" w:lineRule="atLeast"/>
      <w:ind w:left="640" w:hanging="640"/>
      <w:textAlignment w:val="center"/>
    </w:pPr>
    <w:rPr>
      <w:rFonts w:ascii="AvenirLTStd-Medium" w:hAnsi="AvenirLTStd-Medium" w:cs="AvenirLTStd-Medium"/>
      <w:color w:val="000000"/>
      <w:sz w:val="16"/>
      <w:szCs w:val="16"/>
    </w:rPr>
  </w:style>
  <w:style w:type="paragraph" w:customStyle="1" w:styleId="bopoblu2dig">
    <w:name w:val="bopob_lu.2dig"/>
    <w:basedOn w:val="Normal"/>
    <w:rsid w:val="00FC7AEA"/>
    <w:pPr>
      <w:widowControl w:val="0"/>
      <w:tabs>
        <w:tab w:val="left" w:pos="200"/>
        <w:tab w:val="left" w:pos="740"/>
      </w:tabs>
      <w:suppressAutoHyphens/>
      <w:adjustRightInd w:val="0"/>
      <w:spacing w:after="50" w:line="200" w:lineRule="atLeast"/>
      <w:ind w:left="740" w:hanging="740"/>
      <w:textAlignment w:val="center"/>
    </w:pPr>
    <w:rPr>
      <w:rFonts w:ascii="AvenirLTStd-Medium" w:hAnsi="AvenirLTStd-Medium"/>
      <w:color w:val="000000"/>
      <w:sz w:val="16"/>
      <w:szCs w:val="16"/>
      <w:lang w:bidi="en-US"/>
    </w:rPr>
  </w:style>
  <w:style w:type="paragraph" w:customStyle="1" w:styleId="bchtx">
    <w:name w:val="bch_tx"/>
    <w:basedOn w:val="Normal"/>
    <w:rsid w:val="000B2E55"/>
    <w:pPr>
      <w:widowControl w:val="0"/>
      <w:tabs>
        <w:tab w:val="left" w:pos="240"/>
      </w:tabs>
      <w:adjustRightInd w:val="0"/>
      <w:spacing w:after="200" w:line="240" w:lineRule="atLeast"/>
      <w:ind w:firstLine="240"/>
      <w:jc w:val="both"/>
      <w:textAlignment w:val="center"/>
    </w:pPr>
    <w:rPr>
      <w:rFonts w:ascii="TimesLTStd-Roman" w:hAnsi="TimesLTStd-Roman" w:cs="TimesLTStd-Roman"/>
      <w:color w:val="000000"/>
      <w:sz w:val="21"/>
      <w:szCs w:val="21"/>
    </w:rPr>
  </w:style>
  <w:style w:type="character" w:customStyle="1" w:styleId="comp">
    <w:name w:val="comp"/>
    <w:rsid w:val="000B2E55"/>
    <w:rPr>
      <w:b/>
      <w:bCs/>
      <w:color w:val="FF0000"/>
      <w:w w:val="100"/>
      <w:position w:val="0"/>
      <w:u w:val="none"/>
      <w:vertAlign w:val="baseline"/>
    </w:rPr>
  </w:style>
  <w:style w:type="paragraph" w:customStyle="1" w:styleId="Noparagraphstyle">
    <w:name w:val="[No paragraph style]"/>
    <w:uiPriority w:val="99"/>
    <w:rsid w:val="000B2E55"/>
    <w:pPr>
      <w:widowControl w:val="0"/>
      <w:autoSpaceDE w:val="0"/>
      <w:autoSpaceDN w:val="0"/>
      <w:adjustRightInd w:val="0"/>
      <w:spacing w:after="200" w:line="288" w:lineRule="auto"/>
      <w:textAlignment w:val="center"/>
    </w:pPr>
    <w:rPr>
      <w:rFonts w:ascii="Times-Roman" w:hAnsi="Times-Roman" w:cs="Times-Roman"/>
      <w:color w:val="000000"/>
      <w:sz w:val="24"/>
      <w:szCs w:val="24"/>
    </w:rPr>
  </w:style>
  <w:style w:type="paragraph" w:customStyle="1" w:styleId="bchfgtx">
    <w:name w:val="bch_fgtx"/>
    <w:basedOn w:val="Noparagraphstyle"/>
    <w:uiPriority w:val="99"/>
    <w:rsid w:val="000B2E55"/>
    <w:pPr>
      <w:suppressAutoHyphens/>
      <w:spacing w:line="220" w:lineRule="atLeast"/>
      <w:ind w:firstLine="240"/>
    </w:pPr>
    <w:rPr>
      <w:rFonts w:ascii="AvenirLTStd-Roman" w:hAnsi="AvenirLTStd-Roman" w:cs="AvenirLTStd-Roman"/>
      <w:sz w:val="18"/>
      <w:szCs w:val="18"/>
    </w:rPr>
  </w:style>
  <w:style w:type="paragraph" w:customStyle="1" w:styleId="bchfgcn">
    <w:name w:val="bch_fgcn"/>
    <w:basedOn w:val="Noparagraphstyle"/>
    <w:uiPriority w:val="99"/>
    <w:rsid w:val="000B2E55"/>
    <w:pPr>
      <w:tabs>
        <w:tab w:val="left" w:pos="240"/>
      </w:tabs>
      <w:suppressAutoHyphens/>
      <w:spacing w:line="220" w:lineRule="atLeast"/>
    </w:pPr>
    <w:rPr>
      <w:rFonts w:ascii="AvenirLTStd-Heavy" w:hAnsi="AvenirLTStd-Heavy" w:cs="AvenirLTStd-Heavy"/>
      <w:sz w:val="18"/>
      <w:szCs w:val="18"/>
    </w:rPr>
  </w:style>
  <w:style w:type="character" w:customStyle="1" w:styleId="85heavy">
    <w:name w:val="85heavy"/>
    <w:uiPriority w:val="99"/>
    <w:rsid w:val="000B2E55"/>
  </w:style>
  <w:style w:type="character" w:customStyle="1" w:styleId="rule1line">
    <w:name w:val="rule.1line"/>
    <w:uiPriority w:val="99"/>
    <w:rsid w:val="000B2E55"/>
    <w:rPr>
      <w:u w:val="thick" w:color="000000"/>
    </w:rPr>
  </w:style>
  <w:style w:type="character" w:customStyle="1" w:styleId="rule2line">
    <w:name w:val="rule.2line"/>
    <w:uiPriority w:val="99"/>
    <w:rsid w:val="000B2E55"/>
    <w:rPr>
      <w:u w:val="double" w:color="000000"/>
    </w:rPr>
  </w:style>
  <w:style w:type="character" w:styleId="CommentReference">
    <w:name w:val="annotation reference"/>
    <w:uiPriority w:val="99"/>
    <w:unhideWhenUsed/>
    <w:rsid w:val="000B2E55"/>
    <w:rPr>
      <w:sz w:val="16"/>
      <w:szCs w:val="16"/>
    </w:rPr>
  </w:style>
  <w:style w:type="paragraph" w:styleId="CommentText">
    <w:name w:val="annotation text"/>
    <w:basedOn w:val="Normal"/>
    <w:link w:val="CommentTextChar"/>
    <w:uiPriority w:val="99"/>
    <w:unhideWhenUsed/>
    <w:rsid w:val="000B2E55"/>
    <w:pPr>
      <w:autoSpaceDE/>
      <w:autoSpaceDN/>
      <w:spacing w:after="200" w:line="276" w:lineRule="auto"/>
    </w:pPr>
    <w:rPr>
      <w:rFonts w:ascii="Calibri" w:hAnsi="Calibri"/>
      <w:sz w:val="20"/>
      <w:szCs w:val="20"/>
      <w:lang w:bidi="en-US"/>
    </w:rPr>
  </w:style>
  <w:style w:type="character" w:customStyle="1" w:styleId="CommentTextChar">
    <w:name w:val="Comment Text Char"/>
    <w:link w:val="CommentText"/>
    <w:uiPriority w:val="99"/>
    <w:rsid w:val="000B2E55"/>
    <w:rPr>
      <w:rFonts w:ascii="Calibri" w:hAnsi="Calibri"/>
      <w:lang w:bidi="en-US"/>
    </w:rPr>
  </w:style>
  <w:style w:type="paragraph" w:styleId="BalloonText">
    <w:name w:val="Balloon Text"/>
    <w:basedOn w:val="Normal"/>
    <w:link w:val="BalloonTextChar"/>
    <w:rsid w:val="000B2E55"/>
    <w:rPr>
      <w:rFonts w:ascii="Tahoma" w:hAnsi="Tahoma" w:cs="Tahoma"/>
      <w:sz w:val="16"/>
      <w:szCs w:val="16"/>
    </w:rPr>
  </w:style>
  <w:style w:type="character" w:customStyle="1" w:styleId="BalloonTextChar">
    <w:name w:val="Balloon Text Char"/>
    <w:link w:val="BalloonText"/>
    <w:rsid w:val="000B2E55"/>
    <w:rPr>
      <w:rFonts w:ascii="Tahoma" w:hAnsi="Tahoma" w:cs="Tahoma"/>
      <w:sz w:val="16"/>
      <w:szCs w:val="16"/>
    </w:rPr>
  </w:style>
  <w:style w:type="paragraph" w:customStyle="1" w:styleId="bchcsha">
    <w:name w:val="bchcs_ha"/>
    <w:basedOn w:val="Normal"/>
    <w:rsid w:val="00D42E0C"/>
    <w:pPr>
      <w:widowControl w:val="0"/>
      <w:suppressAutoHyphens/>
      <w:adjustRightInd w:val="0"/>
      <w:spacing w:line="220" w:lineRule="atLeast"/>
      <w:textAlignment w:val="center"/>
    </w:pPr>
    <w:rPr>
      <w:rFonts w:ascii="TimesLTStd-Roman" w:hAnsi="TimesLTStd-Roman"/>
      <w:color w:val="000000"/>
      <w:sz w:val="18"/>
      <w:szCs w:val="18"/>
    </w:rPr>
  </w:style>
  <w:style w:type="paragraph" w:customStyle="1" w:styleId="comment0">
    <w:name w:val="comment"/>
    <w:basedOn w:val="Normal"/>
    <w:qFormat/>
    <w:rsid w:val="00342FF6"/>
    <w:pPr>
      <w:framePr w:w="2187" w:hSpace="187" w:vSpace="187" w:wrap="around" w:vAnchor="text" w:hAnchor="page" w:x="501" w:y="7"/>
      <w:widowControl w:val="0"/>
      <w:adjustRightInd w:val="0"/>
      <w:textAlignment w:val="center"/>
    </w:pPr>
    <w:rPr>
      <w:rFonts w:ascii="Calibri" w:hAnsi="Calibri"/>
      <w:b/>
      <w:bCs/>
      <w:color w:val="004D74"/>
      <w:sz w:val="20"/>
      <w:szCs w:val="22"/>
    </w:rPr>
  </w:style>
  <w:style w:type="paragraph" w:customStyle="1" w:styleId="la2">
    <w:name w:val="la2"/>
    <w:basedOn w:val="Normal"/>
    <w:next w:val="Normal"/>
    <w:rsid w:val="00D64ACF"/>
    <w:pPr>
      <w:autoSpaceDE/>
      <w:autoSpaceDN/>
      <w:spacing w:line="40" w:lineRule="exact"/>
    </w:pPr>
    <w:rPr>
      <w:rFonts w:ascii="Times New Roman" w:hAnsi="Times New Roman"/>
      <w:noProof/>
      <w:sz w:val="8"/>
      <w:szCs w:val="8"/>
    </w:rPr>
  </w:style>
  <w:style w:type="paragraph" w:styleId="NormalWeb">
    <w:name w:val="Normal (Web)"/>
    <w:basedOn w:val="Normal"/>
    <w:link w:val="NormalWebChar"/>
    <w:uiPriority w:val="99"/>
    <w:rsid w:val="00D64ACF"/>
    <w:pPr>
      <w:autoSpaceDE/>
      <w:autoSpaceDN/>
      <w:spacing w:before="100" w:beforeAutospacing="1" w:after="100" w:afterAutospacing="1"/>
      <w:jc w:val="both"/>
    </w:pPr>
    <w:rPr>
      <w:rFonts w:ascii="Arial" w:hAnsi="Arial"/>
    </w:rPr>
  </w:style>
  <w:style w:type="character" w:customStyle="1" w:styleId="NormalWebChar">
    <w:name w:val="Normal (Web) Char"/>
    <w:basedOn w:val="DefaultParagraphFont"/>
    <w:link w:val="NormalWeb"/>
    <w:uiPriority w:val="99"/>
    <w:rsid w:val="00D64ACF"/>
    <w:rPr>
      <w:rFonts w:ascii="Arial" w:hAnsi="Arial"/>
      <w:sz w:val="24"/>
      <w:szCs w:val="24"/>
    </w:rPr>
  </w:style>
  <w:style w:type="character" w:customStyle="1" w:styleId="font-sans">
    <w:name w:val="font-sans"/>
    <w:basedOn w:val="DefaultParagraphFont"/>
    <w:rsid w:val="00EB680F"/>
  </w:style>
  <w:style w:type="character" w:styleId="Strong">
    <w:name w:val="Strong"/>
    <w:basedOn w:val="DefaultParagraphFont"/>
    <w:uiPriority w:val="22"/>
    <w:qFormat/>
    <w:rsid w:val="00DC52C4"/>
    <w:rPr>
      <w:b/>
      <w:bCs/>
    </w:rPr>
  </w:style>
  <w:style w:type="character" w:customStyle="1" w:styleId="FooterChar">
    <w:name w:val="Footer Char"/>
    <w:link w:val="Footer"/>
    <w:rsid w:val="004B3E83"/>
    <w:rPr>
      <w:rFonts w:ascii="Palatino" w:hAnsi="Palatino"/>
      <w:sz w:val="24"/>
      <w:szCs w:val="24"/>
    </w:rPr>
  </w:style>
  <w:style w:type="paragraph" w:styleId="CommentSubject">
    <w:name w:val="annotation subject"/>
    <w:basedOn w:val="CommentText"/>
    <w:next w:val="CommentText"/>
    <w:link w:val="CommentSubjectChar"/>
    <w:semiHidden/>
    <w:unhideWhenUsed/>
    <w:rsid w:val="00E8179F"/>
    <w:pPr>
      <w:autoSpaceDE w:val="0"/>
      <w:autoSpaceDN w:val="0"/>
      <w:spacing w:after="0" w:line="240" w:lineRule="auto"/>
    </w:pPr>
    <w:rPr>
      <w:rFonts w:ascii="Palatino" w:hAnsi="Palatino"/>
      <w:b/>
      <w:bCs/>
      <w:lang w:bidi="ar-SA"/>
    </w:rPr>
  </w:style>
  <w:style w:type="character" w:customStyle="1" w:styleId="CommentSubjectChar">
    <w:name w:val="Comment Subject Char"/>
    <w:basedOn w:val="CommentTextChar"/>
    <w:link w:val="CommentSubject"/>
    <w:semiHidden/>
    <w:rsid w:val="00E8179F"/>
    <w:rPr>
      <w:rFonts w:ascii="Palatino" w:hAnsi="Palatino"/>
      <w:b/>
      <w:bCs/>
      <w:lang w:bidi="en-US"/>
    </w:rPr>
  </w:style>
  <w:style w:type="paragraph" w:styleId="Revision">
    <w:name w:val="Revision"/>
    <w:hidden/>
    <w:uiPriority w:val="99"/>
    <w:semiHidden/>
    <w:rsid w:val="00E8179F"/>
    <w:rPr>
      <w:rFonts w:ascii="Palatino" w:hAnsi="Palatin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CHAPTER 14</vt:lpstr>
    </vt:vector>
  </TitlesOfParts>
  <Company>Dell Computer Corporation</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dc:title>
  <dc:creator>Preferred Customer</dc:creator>
  <cp:lastModifiedBy>Tara Corthell</cp:lastModifiedBy>
  <cp:revision>3</cp:revision>
  <cp:lastPrinted>2008-02-18T01:33:00Z</cp:lastPrinted>
  <dcterms:created xsi:type="dcterms:W3CDTF">2019-09-12T20:30:00Z</dcterms:created>
  <dcterms:modified xsi:type="dcterms:W3CDTF">2019-09-12T20:33:00Z</dcterms:modified>
</cp:coreProperties>
</file>